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401B6" w:rsidR="00646AC2" w:rsidP="008C74D9" w:rsidRDefault="008C74D9">
      <w:pPr>
        <w:jc w:val="center"/>
        <w:rPr>
          <w:lang w:val="en-GB"/>
        </w:rPr>
      </w:pPr>
      <w:bookmarkStart w:name="_GoBack" w:id="0"/>
      <w:bookmarkEnd w:id="0"/>
      <w:r w:rsidRPr="00814BA4">
        <w:rPr>
          <w:noProof/>
        </w:rPr>
        <w:drawing>
          <wp:inline distT="0" distB="0" distL="0" distR="0" wp14:anchorId="15EB419B" wp14:editId="7D40A0BC">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Pr="00814BA4" w:rsidR="002C1DB1">
        <w:rPr>
          <w:noProof/>
          <w:sz w:val="20"/>
        </w:rPr>
        <mc:AlternateContent>
          <mc:Choice Requires="wps">
            <w:drawing>
              <wp:anchor distT="0" distB="0" distL="114300" distR="114300" simplePos="0" relativeHeight="251658240" behindDoc="1" locked="0" layoutInCell="0" allowOverlap="1" wp14:editId="03861BBC" wp14:anchorId="33634CCD">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E05E2E" w:rsidRDefault="00E05E2E">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3634CCD">
                <v:stroke joinstyle="miter"/>
                <v:path gradientshapeok="t" o:connecttype="rect"/>
              </v:shapetype>
              <v:shape id="Text Box 17"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E05E2E" w:rsidRDefault="00E05E2E">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Pr="002401B6" w:rsidR="008C74D9" w:rsidP="0015678B" w:rsidRDefault="008C74D9">
      <w:pPr>
        <w:rPr>
          <w:lang w:val="en-GB"/>
        </w:rPr>
      </w:pPr>
    </w:p>
    <w:p w:rsidRPr="002401B6" w:rsidR="00646AC2" w:rsidP="0015678B" w:rsidRDefault="00523686">
      <w:pPr>
        <w:jc w:val="right"/>
        <w:rPr>
          <w:lang w:val="en-GB"/>
        </w:rPr>
      </w:pPr>
      <w:r w:rsidRPr="002401B6">
        <w:rPr>
          <w:b/>
          <w:lang w:val="en-GB"/>
        </w:rPr>
        <w:t>SOC</w:t>
      </w:r>
      <w:r w:rsidRPr="002401B6" w:rsidR="009B30AA">
        <w:rPr>
          <w:b/>
          <w:lang w:val="en-GB"/>
        </w:rPr>
        <w:t>/</w:t>
      </w:r>
      <w:r w:rsidRPr="002401B6">
        <w:rPr>
          <w:b/>
          <w:lang w:val="en-GB"/>
        </w:rPr>
        <w:t>677</w:t>
      </w:r>
    </w:p>
    <w:p w:rsidRPr="002401B6" w:rsidR="00563C84" w:rsidP="0015678B" w:rsidRDefault="001E1AD5">
      <w:pPr>
        <w:jc w:val="right"/>
        <w:rPr>
          <w:lang w:val="en-GB"/>
        </w:rPr>
      </w:pPr>
      <w:r w:rsidRPr="002401B6">
        <w:rPr>
          <w:b/>
          <w:lang w:val="en-GB"/>
        </w:rPr>
        <w:t>Europe</w:t>
      </w:r>
      <w:r w:rsidRPr="002401B6" w:rsidR="00B0563B">
        <w:rPr>
          <w:b/>
          <w:lang w:val="en-GB"/>
        </w:rPr>
        <w:t>'</w:t>
      </w:r>
      <w:r w:rsidRPr="002401B6">
        <w:rPr>
          <w:b/>
          <w:lang w:val="en-GB"/>
        </w:rPr>
        <w:t>s Beating Cancer P</w:t>
      </w:r>
      <w:r w:rsidRPr="002401B6" w:rsidR="00523686">
        <w:rPr>
          <w:b/>
          <w:lang w:val="en-GB"/>
        </w:rPr>
        <w:t>lan</w:t>
      </w:r>
    </w:p>
    <w:p w:rsidRPr="002401B6" w:rsidR="009B30AA" w:rsidP="0015678B" w:rsidRDefault="009B30AA">
      <w:pPr>
        <w:rPr>
          <w:lang w:val="en-GB"/>
        </w:rPr>
      </w:pPr>
    </w:p>
    <w:p w:rsidRPr="002401B6" w:rsidR="009B30AA" w:rsidP="0015678B" w:rsidRDefault="009B30AA">
      <w:pPr>
        <w:rPr>
          <w:lang w:val="en-GB"/>
        </w:rPr>
      </w:pPr>
    </w:p>
    <w:p w:rsidRPr="002401B6" w:rsidR="007F0F68" w:rsidP="0015678B" w:rsidRDefault="00F13F78">
      <w:pPr>
        <w:jc w:val="center"/>
        <w:rPr>
          <w:b/>
          <w:lang w:val="en-GB"/>
        </w:rPr>
      </w:pPr>
      <w:r w:rsidRPr="002401B6">
        <w:rPr>
          <w:b/>
          <w:sz w:val="28"/>
          <w:lang w:val="en-GB"/>
        </w:rPr>
        <w:t>OPINION</w:t>
      </w:r>
      <w:r w:rsidRPr="002401B6" w:rsidR="00563C84">
        <w:rPr>
          <w:b/>
          <w:sz w:val="28"/>
          <w:lang w:val="en-GB"/>
        </w:rPr>
        <w:br/>
      </w:r>
      <w:r w:rsidRPr="002401B6" w:rsidR="00563C84">
        <w:rPr>
          <w:b/>
          <w:lang w:val="en-GB"/>
        </w:rPr>
        <w:br/>
      </w:r>
      <w:r w:rsidRPr="002401B6" w:rsidR="00C570B6">
        <w:rPr>
          <w:lang w:val="en-GB"/>
        </w:rPr>
        <w:t>European Economic and Social Committee</w:t>
      </w:r>
      <w:r w:rsidRPr="002401B6" w:rsidR="00563C84">
        <w:rPr>
          <w:lang w:val="en-GB"/>
        </w:rPr>
        <w:br/>
      </w:r>
      <w:r w:rsidRPr="002401B6" w:rsidR="00563C84">
        <w:rPr>
          <w:b/>
          <w:lang w:val="en-GB"/>
        </w:rPr>
        <w:br/>
      </w:r>
      <w:r w:rsidRPr="002401B6" w:rsidR="001E1AD5">
        <w:rPr>
          <w:b/>
          <w:lang w:val="en-GB"/>
        </w:rPr>
        <w:t xml:space="preserve">Communication from the Commission to the European Parliament and the Council </w:t>
      </w:r>
    </w:p>
    <w:p w:rsidRPr="002401B6" w:rsidR="00646AC2" w:rsidP="0015678B" w:rsidRDefault="00523686">
      <w:pPr>
        <w:jc w:val="center"/>
        <w:rPr>
          <w:lang w:val="en-GB"/>
        </w:rPr>
      </w:pPr>
      <w:r w:rsidRPr="002401B6">
        <w:rPr>
          <w:b/>
          <w:lang w:val="en-GB"/>
        </w:rPr>
        <w:t>Europe</w:t>
      </w:r>
      <w:r w:rsidRPr="002401B6" w:rsidR="00B0563B">
        <w:rPr>
          <w:b/>
          <w:lang w:val="en-GB"/>
        </w:rPr>
        <w:t>'</w:t>
      </w:r>
      <w:r w:rsidRPr="002401B6">
        <w:rPr>
          <w:b/>
          <w:lang w:val="en-GB"/>
        </w:rPr>
        <w:t>s Beating Cancer Plan</w:t>
      </w:r>
      <w:r w:rsidRPr="002401B6" w:rsidR="00563C84">
        <w:rPr>
          <w:b/>
          <w:lang w:val="en-GB"/>
        </w:rPr>
        <w:br/>
      </w:r>
      <w:r w:rsidRPr="002401B6" w:rsidR="00525F6C">
        <w:rPr>
          <w:lang w:val="en-GB"/>
        </w:rPr>
        <w:t>[</w:t>
      </w:r>
      <w:r w:rsidRPr="002401B6">
        <w:rPr>
          <w:lang w:val="en-GB"/>
        </w:rPr>
        <w:t>COM(2021)</w:t>
      </w:r>
      <w:r w:rsidRPr="002401B6" w:rsidR="00004E14">
        <w:rPr>
          <w:lang w:val="en-GB"/>
        </w:rPr>
        <w:t xml:space="preserve"> </w:t>
      </w:r>
      <w:r w:rsidRPr="002401B6">
        <w:rPr>
          <w:lang w:val="en-GB"/>
        </w:rPr>
        <w:t>44 final</w:t>
      </w:r>
      <w:r w:rsidRPr="002401B6" w:rsidR="00525F6C">
        <w:rPr>
          <w:lang w:val="en-GB"/>
        </w:rPr>
        <w:t>]</w:t>
      </w:r>
    </w:p>
    <w:p w:rsidRPr="002401B6" w:rsidR="009B30AA" w:rsidP="0015678B" w:rsidRDefault="009B30AA">
      <w:pPr>
        <w:jc w:val="center"/>
        <w:rPr>
          <w:lang w:val="en-GB"/>
        </w:rPr>
      </w:pPr>
    </w:p>
    <w:p w:rsidRPr="002401B6" w:rsidR="00704FBB" w:rsidP="0015678B" w:rsidRDefault="007F5E0D">
      <w:pPr>
        <w:jc w:val="center"/>
        <w:rPr>
          <w:b/>
          <w:lang w:val="en-GB"/>
        </w:rPr>
      </w:pPr>
      <w:r w:rsidRPr="002401B6">
        <w:rPr>
          <w:lang w:val="en-GB"/>
        </w:rPr>
        <w:t xml:space="preserve">Rapporteur: </w:t>
      </w:r>
      <w:r w:rsidRPr="002401B6" w:rsidR="002C74CF">
        <w:rPr>
          <w:b/>
          <w:lang w:val="en-GB"/>
        </w:rPr>
        <w:t>Małgorzata</w:t>
      </w:r>
      <w:r w:rsidRPr="002401B6" w:rsidR="001E1AD5">
        <w:rPr>
          <w:b/>
          <w:lang w:val="en-GB"/>
        </w:rPr>
        <w:t xml:space="preserve"> BOGUSZ</w:t>
      </w:r>
    </w:p>
    <w:p w:rsidRPr="002401B6" w:rsidR="001E1AD5" w:rsidP="0015678B" w:rsidRDefault="0044643D">
      <w:pPr>
        <w:jc w:val="center"/>
        <w:rPr>
          <w:b/>
          <w:lang w:val="en-GB"/>
        </w:rPr>
      </w:pPr>
      <w:r w:rsidRPr="002401B6">
        <w:rPr>
          <w:lang w:val="en-GB"/>
        </w:rPr>
        <w:t>Co-rapporteur:</w:t>
      </w:r>
      <w:r w:rsidRPr="002401B6">
        <w:rPr>
          <w:b/>
          <w:lang w:val="en-GB"/>
        </w:rPr>
        <w:t xml:space="preserve"> Milena ANGELOVA</w:t>
      </w:r>
    </w:p>
    <w:p w:rsidRPr="002401B6" w:rsidR="00E32DC6" w:rsidP="0015678B" w:rsidRDefault="00E32DC6">
      <w:pPr>
        <w:rPr>
          <w:lang w:val="en-GB"/>
        </w:rPr>
      </w:pPr>
    </w:p>
    <w:p w:rsidRPr="002401B6" w:rsidR="00E32DC6" w:rsidP="0015678B" w:rsidRDefault="00E32DC6">
      <w:pPr>
        <w:rPr>
          <w:lang w:val="en-GB"/>
        </w:rPr>
      </w:pPr>
    </w:p>
    <w:p w:rsidRPr="002401B6" w:rsidR="00E32DC6" w:rsidP="0015678B" w:rsidRDefault="00E32DC6">
      <w:pPr>
        <w:rPr>
          <w:lang w:val="en-GB"/>
        </w:rPr>
        <w:sectPr w:rsidRPr="002401B6" w:rsidR="00E32DC6" w:rsidSect="00E15A9A">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2"/>
      </w:tblGrid>
      <w:tr w:rsidRPr="002401B6" w:rsidR="00494E34">
        <w:tc>
          <w:tcPr>
            <w:tcW w:w="3085" w:type="dxa"/>
          </w:tcPr>
          <w:p w:rsidRPr="002401B6" w:rsidR="0011656A" w:rsidP="004A5738" w:rsidRDefault="004A5738">
            <w:pPr>
              <w:jc w:val="left"/>
              <w:rPr>
                <w:lang w:val="en-GB"/>
              </w:rPr>
            </w:pPr>
            <w:r w:rsidRPr="002401B6">
              <w:rPr>
                <w:lang w:val="en-GB"/>
              </w:rPr>
              <w:lastRenderedPageBreak/>
              <w:t>Referral</w:t>
            </w:r>
          </w:p>
        </w:tc>
        <w:tc>
          <w:tcPr>
            <w:tcW w:w="6202" w:type="dxa"/>
          </w:tcPr>
          <w:p w:rsidRPr="002401B6" w:rsidR="0011656A" w:rsidP="00C570B6" w:rsidRDefault="006D68F0">
            <w:pPr>
              <w:jc w:val="left"/>
              <w:rPr>
                <w:lang w:val="en-GB"/>
              </w:rPr>
            </w:pPr>
            <w:r w:rsidRPr="002401B6">
              <w:rPr>
                <w:lang w:val="en-GB"/>
              </w:rPr>
              <w:t>European Commission</w:t>
            </w:r>
            <w:r w:rsidRPr="002401B6" w:rsidR="00F648EA">
              <w:rPr>
                <w:lang w:val="en-GB"/>
              </w:rPr>
              <w:t xml:space="preserve">, </w:t>
            </w:r>
            <w:r w:rsidRPr="002401B6" w:rsidR="00C570B6">
              <w:rPr>
                <w:lang w:val="en-GB"/>
              </w:rPr>
              <w:t>26</w:t>
            </w:r>
            <w:r w:rsidRPr="002401B6" w:rsidR="00F648EA">
              <w:rPr>
                <w:lang w:val="en-GB"/>
              </w:rPr>
              <w:t>/</w:t>
            </w:r>
            <w:r w:rsidRPr="002401B6" w:rsidR="00C570B6">
              <w:rPr>
                <w:lang w:val="en-GB"/>
              </w:rPr>
              <w:t>03</w:t>
            </w:r>
            <w:r w:rsidRPr="002401B6" w:rsidR="00F648EA">
              <w:rPr>
                <w:lang w:val="en-GB"/>
              </w:rPr>
              <w:t>/</w:t>
            </w:r>
            <w:r w:rsidRPr="002401B6" w:rsidR="00C570B6">
              <w:rPr>
                <w:lang w:val="en-GB"/>
              </w:rPr>
              <w:t>2021</w:t>
            </w:r>
          </w:p>
        </w:tc>
      </w:tr>
      <w:tr w:rsidRPr="002401B6" w:rsidR="00494E34">
        <w:trPr>
          <w:trHeight w:val="251"/>
        </w:trPr>
        <w:tc>
          <w:tcPr>
            <w:tcW w:w="3085" w:type="dxa"/>
          </w:tcPr>
          <w:p w:rsidRPr="002401B6" w:rsidR="0016503F" w:rsidP="0015678B" w:rsidRDefault="0016503F">
            <w:pPr>
              <w:jc w:val="left"/>
              <w:rPr>
                <w:lang w:val="en-GB"/>
              </w:rPr>
            </w:pPr>
            <w:r w:rsidRPr="002401B6">
              <w:rPr>
                <w:lang w:val="en-GB"/>
              </w:rPr>
              <w:t>Legal basis</w:t>
            </w:r>
          </w:p>
        </w:tc>
        <w:tc>
          <w:tcPr>
            <w:tcW w:w="6202" w:type="dxa"/>
          </w:tcPr>
          <w:p w:rsidRPr="002401B6" w:rsidR="0016503F" w:rsidP="006D68F0" w:rsidRDefault="00BE2DE2">
            <w:pPr>
              <w:jc w:val="left"/>
              <w:rPr>
                <w:lang w:val="en-GB"/>
              </w:rPr>
            </w:pPr>
            <w:r w:rsidRPr="002401B6">
              <w:rPr>
                <w:lang w:val="en-GB"/>
              </w:rPr>
              <w:t>Rule</w:t>
            </w:r>
            <w:r w:rsidRPr="002401B6" w:rsidR="006D68F0">
              <w:rPr>
                <w:lang w:val="en-GB"/>
              </w:rPr>
              <w:t xml:space="preserve"> 168 (1) </w:t>
            </w:r>
            <w:r w:rsidRPr="002401B6" w:rsidR="0016503F">
              <w:rPr>
                <w:lang w:val="en-GB"/>
              </w:rPr>
              <w:t>of the Treaty on the Functioning of the European Union</w:t>
            </w:r>
          </w:p>
        </w:tc>
      </w:tr>
      <w:tr w:rsidRPr="002401B6" w:rsidR="00494E34">
        <w:trPr>
          <w:trHeight w:val="250"/>
        </w:trPr>
        <w:tc>
          <w:tcPr>
            <w:tcW w:w="3085" w:type="dxa"/>
          </w:tcPr>
          <w:p w:rsidRPr="002401B6" w:rsidR="0016503F" w:rsidP="0015678B" w:rsidRDefault="0016503F">
            <w:pPr>
              <w:jc w:val="left"/>
              <w:rPr>
                <w:lang w:val="en-GB"/>
              </w:rPr>
            </w:pPr>
          </w:p>
        </w:tc>
        <w:tc>
          <w:tcPr>
            <w:tcW w:w="6202" w:type="dxa"/>
          </w:tcPr>
          <w:p w:rsidRPr="002401B6" w:rsidR="0016503F" w:rsidP="0015678B" w:rsidRDefault="0016503F">
            <w:pPr>
              <w:jc w:val="left"/>
              <w:rPr>
                <w:lang w:val="en-GB"/>
              </w:rPr>
            </w:pPr>
          </w:p>
        </w:tc>
      </w:tr>
      <w:tr w:rsidRPr="002401B6" w:rsidR="00494E34">
        <w:tc>
          <w:tcPr>
            <w:tcW w:w="3085" w:type="dxa"/>
          </w:tcPr>
          <w:p w:rsidRPr="002401B6" w:rsidR="00DF5B64" w:rsidP="0015678B" w:rsidRDefault="00AD4B4F">
            <w:pPr>
              <w:jc w:val="left"/>
              <w:rPr>
                <w:lang w:val="en-GB"/>
              </w:rPr>
            </w:pPr>
            <w:r w:rsidRPr="002401B6">
              <w:rPr>
                <w:lang w:val="en-GB"/>
              </w:rPr>
              <w:t>Section responsible</w:t>
            </w:r>
          </w:p>
        </w:tc>
        <w:tc>
          <w:tcPr>
            <w:tcW w:w="6202" w:type="dxa"/>
          </w:tcPr>
          <w:p w:rsidRPr="002401B6" w:rsidR="00DF5B64" w:rsidP="0015678B" w:rsidRDefault="006D68F0">
            <w:pPr>
              <w:jc w:val="left"/>
              <w:rPr>
                <w:lang w:val="en-GB"/>
              </w:rPr>
            </w:pPr>
            <w:r w:rsidRPr="002401B6">
              <w:rPr>
                <w:lang w:val="en-GB"/>
              </w:rPr>
              <w:t>Employment, Social Affairs and Citizenship</w:t>
            </w:r>
          </w:p>
        </w:tc>
      </w:tr>
      <w:tr w:rsidRPr="002401B6" w:rsidR="00494E34">
        <w:tc>
          <w:tcPr>
            <w:tcW w:w="3085" w:type="dxa"/>
          </w:tcPr>
          <w:p w:rsidRPr="002401B6" w:rsidR="00A156E6" w:rsidP="0015678B" w:rsidRDefault="00A156E6">
            <w:pPr>
              <w:jc w:val="left"/>
              <w:rPr>
                <w:lang w:val="en-GB"/>
              </w:rPr>
            </w:pPr>
            <w:r w:rsidRPr="002401B6">
              <w:rPr>
                <w:lang w:val="en-GB"/>
              </w:rPr>
              <w:t>Adopted in section</w:t>
            </w:r>
          </w:p>
        </w:tc>
        <w:tc>
          <w:tcPr>
            <w:tcW w:w="6202" w:type="dxa"/>
          </w:tcPr>
          <w:p w:rsidRPr="002401B6" w:rsidR="00A156E6" w:rsidP="0015678B" w:rsidRDefault="00E776CC">
            <w:pPr>
              <w:jc w:val="left"/>
              <w:rPr>
                <w:lang w:val="en-GB"/>
              </w:rPr>
            </w:pPr>
            <w:r w:rsidRPr="002401B6">
              <w:rPr>
                <w:lang w:val="en-GB"/>
              </w:rPr>
              <w:t>26/05/2021</w:t>
            </w:r>
          </w:p>
        </w:tc>
      </w:tr>
      <w:tr w:rsidRPr="002401B6" w:rsidR="00494E34">
        <w:tc>
          <w:tcPr>
            <w:tcW w:w="3085" w:type="dxa"/>
          </w:tcPr>
          <w:p w:rsidRPr="002401B6" w:rsidR="00A156E6" w:rsidP="0015678B" w:rsidRDefault="00A156E6">
            <w:pPr>
              <w:jc w:val="left"/>
              <w:rPr>
                <w:lang w:val="en-GB"/>
              </w:rPr>
            </w:pPr>
            <w:r w:rsidRPr="002401B6">
              <w:rPr>
                <w:lang w:val="en-GB"/>
              </w:rPr>
              <w:t>Adopted at plenary</w:t>
            </w:r>
          </w:p>
        </w:tc>
        <w:tc>
          <w:tcPr>
            <w:tcW w:w="6202" w:type="dxa"/>
          </w:tcPr>
          <w:p w:rsidRPr="002401B6" w:rsidR="00A156E6" w:rsidP="00C570B6" w:rsidRDefault="00C570B6">
            <w:pPr>
              <w:jc w:val="left"/>
              <w:rPr>
                <w:lang w:val="en-GB"/>
              </w:rPr>
            </w:pPr>
            <w:r w:rsidRPr="002401B6">
              <w:rPr>
                <w:lang w:val="en-GB"/>
              </w:rPr>
              <w:t>09</w:t>
            </w:r>
            <w:r w:rsidRPr="002401B6" w:rsidR="003439AB">
              <w:rPr>
                <w:lang w:val="en-GB"/>
              </w:rPr>
              <w:t>/</w:t>
            </w:r>
            <w:r w:rsidRPr="002401B6">
              <w:rPr>
                <w:lang w:val="en-GB"/>
              </w:rPr>
              <w:t>06</w:t>
            </w:r>
            <w:r w:rsidRPr="002401B6" w:rsidR="003439AB">
              <w:rPr>
                <w:lang w:val="en-GB"/>
              </w:rPr>
              <w:t>/</w:t>
            </w:r>
            <w:r w:rsidRPr="002401B6">
              <w:rPr>
                <w:lang w:val="en-GB"/>
              </w:rPr>
              <w:t>2021</w:t>
            </w:r>
          </w:p>
        </w:tc>
      </w:tr>
      <w:tr w:rsidRPr="002401B6" w:rsidR="00494E34">
        <w:tc>
          <w:tcPr>
            <w:tcW w:w="3085" w:type="dxa"/>
          </w:tcPr>
          <w:p w:rsidRPr="002401B6" w:rsidR="00BA1290" w:rsidP="0015678B" w:rsidRDefault="00BA1290">
            <w:pPr>
              <w:jc w:val="left"/>
              <w:rPr>
                <w:lang w:val="en-GB"/>
              </w:rPr>
            </w:pPr>
            <w:r w:rsidRPr="002401B6">
              <w:rPr>
                <w:lang w:val="en-GB"/>
              </w:rPr>
              <w:t>Plenary session No</w:t>
            </w:r>
          </w:p>
        </w:tc>
        <w:tc>
          <w:tcPr>
            <w:tcW w:w="6202" w:type="dxa"/>
          </w:tcPr>
          <w:p w:rsidRPr="002401B6" w:rsidR="00BA1290" w:rsidP="0015678B" w:rsidRDefault="00C570B6">
            <w:pPr>
              <w:jc w:val="left"/>
              <w:rPr>
                <w:lang w:val="en-GB"/>
              </w:rPr>
            </w:pPr>
            <w:r w:rsidRPr="002401B6">
              <w:rPr>
                <w:lang w:val="en-GB"/>
              </w:rPr>
              <w:t>561</w:t>
            </w:r>
          </w:p>
        </w:tc>
      </w:tr>
      <w:tr w:rsidRPr="002401B6" w:rsidR="00494E34">
        <w:tc>
          <w:tcPr>
            <w:tcW w:w="3085" w:type="dxa"/>
          </w:tcPr>
          <w:p w:rsidRPr="002401B6" w:rsidR="00D423D4" w:rsidP="0015678B" w:rsidRDefault="0043024C">
            <w:pPr>
              <w:jc w:val="left"/>
              <w:rPr>
                <w:lang w:val="en-GB"/>
              </w:rPr>
            </w:pPr>
            <w:r w:rsidRPr="002401B6">
              <w:rPr>
                <w:lang w:val="en-GB"/>
              </w:rPr>
              <w:t xml:space="preserve">Outcome of </w:t>
            </w:r>
            <w:r w:rsidRPr="002401B6" w:rsidR="007622A7">
              <w:rPr>
                <w:lang w:val="en-GB"/>
              </w:rPr>
              <w:t>vote</w:t>
            </w:r>
            <w:r w:rsidRPr="002401B6" w:rsidR="00F20987">
              <w:rPr>
                <w:lang w:val="en-GB"/>
              </w:rPr>
              <w:br/>
            </w:r>
            <w:r w:rsidRPr="002401B6">
              <w:rPr>
                <w:lang w:val="en-GB"/>
              </w:rPr>
              <w:t>(</w:t>
            </w:r>
            <w:r w:rsidRPr="002401B6" w:rsidR="007622A7">
              <w:rPr>
                <w:lang w:val="en-GB"/>
              </w:rPr>
              <w:t>for</w:t>
            </w:r>
            <w:r w:rsidRPr="002401B6">
              <w:rPr>
                <w:lang w:val="en-GB"/>
              </w:rPr>
              <w:t>/against/abstentions)</w:t>
            </w:r>
          </w:p>
        </w:tc>
        <w:tc>
          <w:tcPr>
            <w:tcW w:w="6202" w:type="dxa"/>
            <w:vAlign w:val="bottom"/>
          </w:tcPr>
          <w:p w:rsidRPr="002401B6" w:rsidR="00A156E6" w:rsidP="00D460E7" w:rsidRDefault="00D460E7">
            <w:pPr>
              <w:jc w:val="left"/>
              <w:rPr>
                <w:lang w:val="en-GB"/>
              </w:rPr>
            </w:pPr>
            <w:r w:rsidRPr="002401B6">
              <w:rPr>
                <w:lang w:val="en-GB"/>
              </w:rPr>
              <w:t>226</w:t>
            </w:r>
            <w:r w:rsidRPr="002401B6" w:rsidR="00A156E6">
              <w:rPr>
                <w:lang w:val="en-GB"/>
              </w:rPr>
              <w:t>/</w:t>
            </w:r>
            <w:r w:rsidRPr="002401B6">
              <w:rPr>
                <w:lang w:val="en-GB"/>
              </w:rPr>
              <w:t>3</w:t>
            </w:r>
            <w:r w:rsidRPr="002401B6" w:rsidR="00A156E6">
              <w:rPr>
                <w:lang w:val="en-GB"/>
              </w:rPr>
              <w:t>/</w:t>
            </w:r>
            <w:r w:rsidRPr="002401B6">
              <w:rPr>
                <w:lang w:val="en-GB"/>
              </w:rPr>
              <w:t>3</w:t>
            </w:r>
          </w:p>
        </w:tc>
      </w:tr>
    </w:tbl>
    <w:p w:rsidRPr="002401B6" w:rsidR="002C74CF" w:rsidP="0015678B" w:rsidRDefault="002C74CF">
      <w:pPr>
        <w:rPr>
          <w:lang w:val="en-GB"/>
        </w:rPr>
      </w:pPr>
    </w:p>
    <w:p w:rsidRPr="002401B6" w:rsidR="00646AC2" w:rsidP="0015678B" w:rsidRDefault="00646AC2">
      <w:pPr>
        <w:rPr>
          <w:lang w:val="en-GB"/>
        </w:rPr>
      </w:pPr>
      <w:r w:rsidRPr="002401B6">
        <w:rPr>
          <w:lang w:val="en-GB"/>
        </w:rPr>
        <w:br w:type="page"/>
      </w:r>
    </w:p>
    <w:p w:rsidRPr="002401B6" w:rsidR="00011D33" w:rsidP="0015678B" w:rsidRDefault="00011D33">
      <w:pPr>
        <w:pStyle w:val="Heading1"/>
        <w:keepNext/>
        <w:rPr>
          <w:lang w:val="en-GB"/>
        </w:rPr>
      </w:pPr>
      <w:r w:rsidRPr="002401B6">
        <w:rPr>
          <w:b/>
          <w:lang w:val="en-GB"/>
        </w:rPr>
        <w:t>Conclusions and recommendations</w:t>
      </w:r>
    </w:p>
    <w:p w:rsidRPr="002401B6" w:rsidR="00011D33" w:rsidP="0015678B" w:rsidRDefault="00011D33">
      <w:pPr>
        <w:keepNext/>
        <w:rPr>
          <w:lang w:val="en-GB"/>
        </w:rPr>
      </w:pPr>
    </w:p>
    <w:p w:rsidRPr="002401B6" w:rsidR="00EE1C7F" w:rsidP="00EE1C7F" w:rsidRDefault="00EE1C7F">
      <w:pPr>
        <w:pStyle w:val="Heading2"/>
        <w:rPr>
          <w:lang w:val="en-GB"/>
        </w:rPr>
      </w:pPr>
      <w:r w:rsidRPr="002401B6">
        <w:rPr>
          <w:lang w:val="en-GB"/>
        </w:rPr>
        <w:t>The European Economic and Social Committee (EESC) welcomes Europe</w:t>
      </w:r>
      <w:r w:rsidRPr="002401B6" w:rsidR="00AF3611">
        <w:rPr>
          <w:lang w:val="en-GB"/>
        </w:rPr>
        <w:t>'</w:t>
      </w:r>
      <w:r w:rsidRPr="002401B6">
        <w:rPr>
          <w:lang w:val="en-GB"/>
        </w:rPr>
        <w:t>s Beating Cancer Plan (P</w:t>
      </w:r>
      <w:r w:rsidRPr="002401B6" w:rsidR="004D03D2">
        <w:rPr>
          <w:lang w:val="en-GB"/>
        </w:rPr>
        <w:t>lan</w:t>
      </w:r>
      <w:r w:rsidRPr="002401B6">
        <w:rPr>
          <w:lang w:val="en-GB"/>
        </w:rPr>
        <w:t xml:space="preserve">) as a milestone in the fight against cancer and its social, financial </w:t>
      </w:r>
      <w:r w:rsidRPr="002401B6" w:rsidR="00AF3611">
        <w:rPr>
          <w:lang w:val="en-GB"/>
        </w:rPr>
        <w:t>and</w:t>
      </w:r>
      <w:r w:rsidRPr="002401B6">
        <w:rPr>
          <w:lang w:val="en-GB"/>
        </w:rPr>
        <w:t xml:space="preserve"> psychological consequences among EU citizens and calls for a concrete roadmap on the implementation of the Plan, accompanied by performance indic</w:t>
      </w:r>
      <w:r w:rsidRPr="002401B6" w:rsidR="00781690">
        <w:rPr>
          <w:lang w:val="en-GB"/>
        </w:rPr>
        <w:t>ators and realistic timeframes.</w:t>
      </w:r>
    </w:p>
    <w:p w:rsidRPr="002401B6" w:rsidR="00EE1C7F" w:rsidP="00EE1C7F" w:rsidRDefault="00EE1C7F">
      <w:pPr>
        <w:ind w:left="567" w:hanging="567"/>
        <w:rPr>
          <w:lang w:val="en-GB"/>
        </w:rPr>
      </w:pPr>
    </w:p>
    <w:p w:rsidRPr="002401B6" w:rsidR="00EE1C7F" w:rsidP="00EE1C7F" w:rsidRDefault="00EE1C7F">
      <w:pPr>
        <w:pStyle w:val="Heading2"/>
        <w:rPr>
          <w:lang w:val="en-GB"/>
        </w:rPr>
      </w:pPr>
      <w:r w:rsidRPr="002401B6">
        <w:rPr>
          <w:lang w:val="en-GB"/>
        </w:rPr>
        <w:t xml:space="preserve">While the prevention of cancer is of the utmost significance, it is equally important for the </w:t>
      </w:r>
      <w:r w:rsidRPr="002401B6" w:rsidR="004D03D2">
        <w:rPr>
          <w:lang w:val="en-GB"/>
        </w:rPr>
        <w:t>European Union (</w:t>
      </w:r>
      <w:r w:rsidRPr="002401B6">
        <w:rPr>
          <w:lang w:val="en-GB"/>
        </w:rPr>
        <w:t>EU</w:t>
      </w:r>
      <w:r w:rsidRPr="002401B6" w:rsidR="004D03D2">
        <w:rPr>
          <w:lang w:val="en-GB"/>
        </w:rPr>
        <w:t>)</w:t>
      </w:r>
      <w:r w:rsidRPr="002401B6">
        <w:rPr>
          <w:lang w:val="en-GB"/>
        </w:rPr>
        <w:t xml:space="preserve"> and Member States (MS) to ensure the availability of high-quality</w:t>
      </w:r>
      <w:r w:rsidRPr="002401B6" w:rsidR="007E4736">
        <w:rPr>
          <w:lang w:val="en-GB"/>
        </w:rPr>
        <w:t>,</w:t>
      </w:r>
      <w:r w:rsidRPr="002401B6">
        <w:rPr>
          <w:lang w:val="en-GB"/>
        </w:rPr>
        <w:t xml:space="preserve"> </w:t>
      </w:r>
      <w:r w:rsidRPr="002401B6" w:rsidR="004D03D2">
        <w:rPr>
          <w:lang w:val="en-GB"/>
        </w:rPr>
        <w:t xml:space="preserve">accessible </w:t>
      </w:r>
      <w:r w:rsidRPr="002401B6">
        <w:rPr>
          <w:lang w:val="en-GB"/>
        </w:rPr>
        <w:t>healthcare infrastructure, including screening, diagnostics and treatment facilities</w:t>
      </w:r>
      <w:r w:rsidRPr="002401B6" w:rsidR="00B72C62">
        <w:rPr>
          <w:lang w:val="en-GB"/>
        </w:rPr>
        <w:t>,</w:t>
      </w:r>
      <w:r w:rsidRPr="002401B6">
        <w:rPr>
          <w:lang w:val="en-GB"/>
        </w:rPr>
        <w:t xml:space="preserve"> health services</w:t>
      </w:r>
      <w:r w:rsidRPr="002401B6" w:rsidR="00AE5313">
        <w:rPr>
          <w:lang w:val="en-GB"/>
        </w:rPr>
        <w:t xml:space="preserve"> with an adequate, needs-based level of health care personnel</w:t>
      </w:r>
      <w:r w:rsidRPr="002401B6" w:rsidR="007E4736">
        <w:rPr>
          <w:lang w:val="en-GB"/>
        </w:rPr>
        <w:t>,</w:t>
      </w:r>
      <w:r w:rsidRPr="002401B6" w:rsidR="004D03D2">
        <w:rPr>
          <w:lang w:val="en-GB"/>
        </w:rPr>
        <w:t xml:space="preserve"> and </w:t>
      </w:r>
      <w:r w:rsidRPr="002401B6" w:rsidR="003E5C89">
        <w:rPr>
          <w:lang w:val="en-GB"/>
        </w:rPr>
        <w:t>effective</w:t>
      </w:r>
      <w:r w:rsidRPr="002401B6">
        <w:rPr>
          <w:lang w:val="en-GB"/>
        </w:rPr>
        <w:t xml:space="preserve"> support systems for patients</w:t>
      </w:r>
      <w:r w:rsidRPr="002401B6" w:rsidR="00AF3611">
        <w:rPr>
          <w:lang w:val="en-GB"/>
        </w:rPr>
        <w:t>'</w:t>
      </w:r>
      <w:r w:rsidRPr="002401B6">
        <w:rPr>
          <w:lang w:val="en-GB"/>
        </w:rPr>
        <w:t xml:space="preserve"> physical and mental well</w:t>
      </w:r>
      <w:r w:rsidRPr="002401B6" w:rsidR="00744934">
        <w:rPr>
          <w:lang w:val="en-GB"/>
        </w:rPr>
        <w:t>-</w:t>
      </w:r>
      <w:r w:rsidRPr="002401B6">
        <w:rPr>
          <w:lang w:val="en-GB"/>
        </w:rPr>
        <w:t xml:space="preserve">being during and </w:t>
      </w:r>
      <w:r w:rsidRPr="002401B6" w:rsidR="001A4714">
        <w:rPr>
          <w:lang w:val="en-GB"/>
        </w:rPr>
        <w:t>after</w:t>
      </w:r>
      <w:r w:rsidRPr="002401B6">
        <w:rPr>
          <w:lang w:val="en-GB"/>
        </w:rPr>
        <w:t xml:space="preserve"> treatments.</w:t>
      </w:r>
    </w:p>
    <w:p w:rsidRPr="002401B6" w:rsidR="00EE1C7F" w:rsidP="00EE1C7F" w:rsidRDefault="00EE1C7F">
      <w:pPr>
        <w:ind w:left="567" w:hanging="567"/>
        <w:rPr>
          <w:lang w:val="en-GB"/>
        </w:rPr>
      </w:pPr>
    </w:p>
    <w:p w:rsidRPr="002401B6" w:rsidR="00EE1C7F" w:rsidP="00EE1C7F" w:rsidRDefault="00EE1C7F">
      <w:pPr>
        <w:pStyle w:val="Heading2"/>
        <w:rPr>
          <w:lang w:val="en-GB"/>
        </w:rPr>
      </w:pPr>
      <w:r w:rsidRPr="002401B6">
        <w:rPr>
          <w:lang w:val="en-GB"/>
        </w:rPr>
        <w:t xml:space="preserve">As an urgent measure, it is necessary to tackle the problems caused by the COVID-19 pandemic with respect to access to health services. </w:t>
      </w:r>
      <w:r w:rsidRPr="002401B6" w:rsidR="004D03D2">
        <w:rPr>
          <w:lang w:val="en-GB"/>
        </w:rPr>
        <w:t>R</w:t>
      </w:r>
      <w:r w:rsidRPr="002401B6">
        <w:rPr>
          <w:lang w:val="en-GB"/>
        </w:rPr>
        <w:t>estrictions and delays may reduce the chances of recovery and must be effectively addressed</w:t>
      </w:r>
      <w:r w:rsidRPr="002401B6" w:rsidR="004D03D2">
        <w:rPr>
          <w:lang w:val="en-GB"/>
        </w:rPr>
        <w:t xml:space="preserve">, </w:t>
      </w:r>
      <w:r w:rsidRPr="002401B6" w:rsidR="00E05E2E">
        <w:rPr>
          <w:lang w:val="en-GB"/>
        </w:rPr>
        <w:t xml:space="preserve">and </w:t>
      </w:r>
      <w:r w:rsidRPr="002401B6" w:rsidR="004D03D2">
        <w:rPr>
          <w:lang w:val="en-GB"/>
        </w:rPr>
        <w:t xml:space="preserve">an urgent response </w:t>
      </w:r>
      <w:r w:rsidRPr="002401B6" w:rsidR="00093647">
        <w:rPr>
          <w:lang w:val="en-GB"/>
        </w:rPr>
        <w:t xml:space="preserve">is needed </w:t>
      </w:r>
      <w:r w:rsidRPr="002401B6" w:rsidR="004D03D2">
        <w:rPr>
          <w:lang w:val="en-GB"/>
        </w:rPr>
        <w:t xml:space="preserve">to </w:t>
      </w:r>
      <w:r w:rsidRPr="002401B6" w:rsidR="00093647">
        <w:rPr>
          <w:lang w:val="en-GB"/>
        </w:rPr>
        <w:t xml:space="preserve">address </w:t>
      </w:r>
      <w:r w:rsidRPr="002401B6" w:rsidR="004D03D2">
        <w:rPr>
          <w:lang w:val="en-GB"/>
        </w:rPr>
        <w:t>people's fears. The social partners (SP) and civil society organisations (CSO) have an indispensable role to play by disseminating best practices and providing relevant information – about what can cause cancer, about helping people recognis</w:t>
      </w:r>
      <w:r w:rsidRPr="002401B6" w:rsidR="007E4736">
        <w:rPr>
          <w:lang w:val="en-GB"/>
        </w:rPr>
        <w:t>e</w:t>
      </w:r>
      <w:r w:rsidRPr="002401B6" w:rsidR="004D03D2">
        <w:rPr>
          <w:lang w:val="en-GB"/>
        </w:rPr>
        <w:t xml:space="preserve"> early symptoms, promoting prevention and inspiring healthy lifestyle</w:t>
      </w:r>
      <w:r w:rsidRPr="002401B6" w:rsidR="00285323">
        <w:rPr>
          <w:lang w:val="en-GB"/>
        </w:rPr>
        <w:t>s</w:t>
      </w:r>
      <w:r w:rsidRPr="002401B6" w:rsidR="004D03D2">
        <w:rPr>
          <w:lang w:val="en-GB"/>
        </w:rPr>
        <w:t>. Their efforts shall be supported</w:t>
      </w:r>
      <w:r w:rsidRPr="002401B6" w:rsidR="007E4736">
        <w:rPr>
          <w:lang w:val="en-GB"/>
        </w:rPr>
        <w:t>,</w:t>
      </w:r>
      <w:r w:rsidRPr="002401B6" w:rsidR="004D03D2">
        <w:rPr>
          <w:lang w:val="en-GB"/>
        </w:rPr>
        <w:t xml:space="preserve"> including by devoting relevant funds under ESF+ for joint actions in combating cancer and </w:t>
      </w:r>
      <w:r w:rsidRPr="002401B6" w:rsidR="00285323">
        <w:rPr>
          <w:lang w:val="en-GB"/>
        </w:rPr>
        <w:t>for</w:t>
      </w:r>
      <w:r w:rsidRPr="002401B6" w:rsidR="007E4736">
        <w:rPr>
          <w:lang w:val="en-GB"/>
        </w:rPr>
        <w:t xml:space="preserve"> </w:t>
      </w:r>
      <w:r w:rsidRPr="002401B6" w:rsidR="00285323">
        <w:rPr>
          <w:lang w:val="en-GB"/>
        </w:rPr>
        <w:t>dissemination of</w:t>
      </w:r>
      <w:r w:rsidRPr="002401B6" w:rsidR="007E4736">
        <w:rPr>
          <w:lang w:val="en-GB"/>
        </w:rPr>
        <w:t xml:space="preserve"> </w:t>
      </w:r>
      <w:r w:rsidRPr="002401B6" w:rsidR="004D03D2">
        <w:rPr>
          <w:lang w:val="en-GB"/>
        </w:rPr>
        <w:t>best practices on</w:t>
      </w:r>
      <w:r w:rsidRPr="002401B6" w:rsidR="006771E5">
        <w:rPr>
          <w:lang w:val="en-GB"/>
        </w:rPr>
        <w:t xml:space="preserve"> health </w:t>
      </w:r>
      <w:r w:rsidRPr="002401B6" w:rsidR="00E15B45">
        <w:rPr>
          <w:lang w:val="en-GB"/>
        </w:rPr>
        <w:t>prevention</w:t>
      </w:r>
      <w:r w:rsidRPr="002401B6" w:rsidR="00781690">
        <w:rPr>
          <w:lang w:val="en-GB"/>
        </w:rPr>
        <w:t>.</w:t>
      </w:r>
    </w:p>
    <w:p w:rsidRPr="002401B6" w:rsidR="00EE1C7F" w:rsidP="00EE1C7F" w:rsidRDefault="00EE1C7F">
      <w:pPr>
        <w:ind w:left="567" w:hanging="567"/>
        <w:rPr>
          <w:lang w:val="en-GB"/>
        </w:rPr>
      </w:pPr>
    </w:p>
    <w:p w:rsidRPr="002401B6" w:rsidR="00EE1C7F" w:rsidP="00EE1C7F" w:rsidRDefault="00EE1C7F">
      <w:pPr>
        <w:pStyle w:val="Heading2"/>
        <w:rPr>
          <w:lang w:val="en-GB"/>
        </w:rPr>
      </w:pPr>
      <w:r w:rsidRPr="002401B6">
        <w:rPr>
          <w:lang w:val="en-GB"/>
        </w:rPr>
        <w:t xml:space="preserve">To enhance the early detection of cancer, the EESC endorses the initiatives of screening and cancer prevention projects and encourages </w:t>
      </w:r>
      <w:r w:rsidRPr="002401B6" w:rsidR="00AF3611">
        <w:rPr>
          <w:lang w:val="en-GB"/>
        </w:rPr>
        <w:t>the use of</w:t>
      </w:r>
      <w:r w:rsidRPr="002401B6">
        <w:rPr>
          <w:lang w:val="en-GB"/>
        </w:rPr>
        <w:t xml:space="preserve"> new technologies and </w:t>
      </w:r>
      <w:r w:rsidRPr="002401B6" w:rsidR="00AF3611">
        <w:rPr>
          <w:lang w:val="en-GB"/>
        </w:rPr>
        <w:t xml:space="preserve">efforts to </w:t>
      </w:r>
      <w:r w:rsidRPr="002401B6">
        <w:rPr>
          <w:lang w:val="en-GB"/>
        </w:rPr>
        <w:t>rais</w:t>
      </w:r>
      <w:r w:rsidRPr="002401B6" w:rsidR="00AF3611">
        <w:rPr>
          <w:lang w:val="en-GB"/>
        </w:rPr>
        <w:t>e</w:t>
      </w:r>
      <w:r w:rsidRPr="002401B6">
        <w:rPr>
          <w:lang w:val="en-GB"/>
        </w:rPr>
        <w:t xml:space="preserve"> people</w:t>
      </w:r>
      <w:r w:rsidRPr="002401B6" w:rsidR="00AF3611">
        <w:rPr>
          <w:lang w:val="en-GB"/>
        </w:rPr>
        <w:t>'</w:t>
      </w:r>
      <w:r w:rsidRPr="002401B6">
        <w:rPr>
          <w:lang w:val="en-GB"/>
        </w:rPr>
        <w:t xml:space="preserve">s awareness of the need for preventive screening. The screening and educational initiatives should target all </w:t>
      </w:r>
      <w:r w:rsidRPr="002401B6" w:rsidR="001A4714">
        <w:rPr>
          <w:lang w:val="en-GB"/>
        </w:rPr>
        <w:t xml:space="preserve">of the </w:t>
      </w:r>
      <w:r w:rsidRPr="002401B6">
        <w:rPr>
          <w:lang w:val="en-GB"/>
        </w:rPr>
        <w:t xml:space="preserve">frequent types of cancer and be available to the largest possible </w:t>
      </w:r>
      <w:r w:rsidRPr="002401B6" w:rsidR="00046338">
        <w:rPr>
          <w:lang w:val="en-GB"/>
        </w:rPr>
        <w:t>number of people</w:t>
      </w:r>
      <w:r w:rsidRPr="002401B6" w:rsidR="00AF3611">
        <w:rPr>
          <w:lang w:val="en-GB"/>
        </w:rPr>
        <w:t>.</w:t>
      </w:r>
    </w:p>
    <w:p w:rsidRPr="002401B6" w:rsidR="00EE1C7F" w:rsidP="00EE1C7F" w:rsidRDefault="00EE1C7F">
      <w:pPr>
        <w:ind w:left="567" w:hanging="567"/>
        <w:rPr>
          <w:lang w:val="en-GB"/>
        </w:rPr>
      </w:pPr>
    </w:p>
    <w:p w:rsidRPr="002401B6" w:rsidR="00EE1C7F" w:rsidP="00EE1C7F" w:rsidRDefault="00EE1C7F">
      <w:pPr>
        <w:pStyle w:val="Heading2"/>
        <w:rPr>
          <w:lang w:val="en-GB"/>
        </w:rPr>
      </w:pPr>
      <w:r w:rsidRPr="002401B6">
        <w:rPr>
          <w:lang w:val="en-GB"/>
        </w:rPr>
        <w:t xml:space="preserve">The Plan needs to respond to the demographic situation in the EU and ensure conditions conducive to the preservation of good health until old age. </w:t>
      </w:r>
      <w:r w:rsidRPr="002401B6" w:rsidR="00D342F0">
        <w:rPr>
          <w:lang w:val="en-GB"/>
        </w:rPr>
        <w:t>Simultaneously</w:t>
      </w:r>
      <w:r w:rsidRPr="002401B6">
        <w:rPr>
          <w:lang w:val="en-GB"/>
        </w:rPr>
        <w:t xml:space="preserve">, the EESC calls </w:t>
      </w:r>
      <w:r w:rsidRPr="002401B6" w:rsidR="00201A03">
        <w:rPr>
          <w:lang w:val="en-GB"/>
        </w:rPr>
        <w:t xml:space="preserve">for </w:t>
      </w:r>
      <w:r w:rsidRPr="002401B6">
        <w:rPr>
          <w:lang w:val="en-GB"/>
        </w:rPr>
        <w:t xml:space="preserve">special attention to </w:t>
      </w:r>
      <w:r w:rsidRPr="002401B6" w:rsidR="00AF3611">
        <w:rPr>
          <w:lang w:val="en-GB"/>
        </w:rPr>
        <w:t xml:space="preserve">be paid to </w:t>
      </w:r>
      <w:r w:rsidRPr="002401B6">
        <w:rPr>
          <w:lang w:val="en-GB"/>
        </w:rPr>
        <w:t>beating child cancer</w:t>
      </w:r>
      <w:r w:rsidRPr="002401B6" w:rsidR="004D03D2">
        <w:rPr>
          <w:lang w:val="en-GB"/>
        </w:rPr>
        <w:t>s</w:t>
      </w:r>
      <w:r w:rsidRPr="002401B6">
        <w:rPr>
          <w:lang w:val="en-GB"/>
        </w:rPr>
        <w:t xml:space="preserve">, which require measures of </w:t>
      </w:r>
      <w:r w:rsidRPr="002401B6" w:rsidR="007E4736">
        <w:rPr>
          <w:lang w:val="en-GB"/>
        </w:rPr>
        <w:t>their</w:t>
      </w:r>
      <w:r w:rsidRPr="002401B6">
        <w:rPr>
          <w:lang w:val="en-GB"/>
        </w:rPr>
        <w:t xml:space="preserve"> own with respect to detection, </w:t>
      </w:r>
      <w:r w:rsidRPr="002401B6" w:rsidR="004D03D2">
        <w:rPr>
          <w:lang w:val="en-GB"/>
        </w:rPr>
        <w:t xml:space="preserve">access to standard and innovative </w:t>
      </w:r>
      <w:r w:rsidRPr="002401B6">
        <w:rPr>
          <w:lang w:val="en-GB"/>
        </w:rPr>
        <w:t xml:space="preserve">medicines and </w:t>
      </w:r>
      <w:r w:rsidRPr="002401B6" w:rsidR="004D03D2">
        <w:rPr>
          <w:lang w:val="en-GB"/>
        </w:rPr>
        <w:t xml:space="preserve">dedicated </w:t>
      </w:r>
      <w:r w:rsidRPr="002401B6">
        <w:rPr>
          <w:lang w:val="en-GB"/>
        </w:rPr>
        <w:t>care</w:t>
      </w:r>
      <w:r w:rsidRPr="002401B6" w:rsidR="004D03D2">
        <w:rPr>
          <w:lang w:val="en-GB"/>
        </w:rPr>
        <w:t xml:space="preserve"> for children and adolescents</w:t>
      </w:r>
      <w:r w:rsidRPr="002401B6" w:rsidR="00781690">
        <w:rPr>
          <w:lang w:val="en-GB"/>
        </w:rPr>
        <w:t>.</w:t>
      </w:r>
    </w:p>
    <w:p w:rsidRPr="002401B6" w:rsidR="00EE1C7F" w:rsidP="00EE1C7F" w:rsidRDefault="00EE1C7F">
      <w:pPr>
        <w:ind w:left="567" w:hanging="567"/>
        <w:rPr>
          <w:lang w:val="en-GB"/>
        </w:rPr>
      </w:pPr>
    </w:p>
    <w:p w:rsidRPr="002401B6" w:rsidR="00EE1C7F" w:rsidP="00EE1C7F" w:rsidRDefault="00EE1C7F">
      <w:pPr>
        <w:pStyle w:val="Heading2"/>
        <w:rPr>
          <w:lang w:val="en-GB"/>
        </w:rPr>
      </w:pPr>
      <w:r w:rsidRPr="002401B6">
        <w:rPr>
          <w:lang w:val="en-GB"/>
        </w:rPr>
        <w:t xml:space="preserve">To reduce national, regional and social inequalities in beating cancer and provide high-standard solutions for all, it is crucial for the EU to involve all MS </w:t>
      </w:r>
      <w:r w:rsidRPr="002401B6" w:rsidR="00AF3611">
        <w:rPr>
          <w:lang w:val="en-GB"/>
        </w:rPr>
        <w:t>in</w:t>
      </w:r>
      <w:r w:rsidRPr="002401B6">
        <w:rPr>
          <w:lang w:val="en-GB"/>
        </w:rPr>
        <w:t xml:space="preserve"> implement</w:t>
      </w:r>
      <w:r w:rsidRPr="002401B6" w:rsidR="00AF3611">
        <w:rPr>
          <w:lang w:val="en-GB"/>
        </w:rPr>
        <w:t>ing</w:t>
      </w:r>
      <w:r w:rsidRPr="002401B6">
        <w:rPr>
          <w:lang w:val="en-GB"/>
        </w:rPr>
        <w:t xml:space="preserve"> the Plan and encourage cooperation between </w:t>
      </w:r>
      <w:r w:rsidRPr="002401B6" w:rsidR="00AF3611">
        <w:rPr>
          <w:lang w:val="en-GB"/>
        </w:rPr>
        <w:t xml:space="preserve">the </w:t>
      </w:r>
      <w:r w:rsidRPr="002401B6">
        <w:rPr>
          <w:lang w:val="en-GB"/>
        </w:rPr>
        <w:t xml:space="preserve">MS, including </w:t>
      </w:r>
      <w:r w:rsidRPr="002401B6" w:rsidR="0081361B">
        <w:rPr>
          <w:lang w:val="en-GB"/>
        </w:rPr>
        <w:t xml:space="preserve">with </w:t>
      </w:r>
      <w:r w:rsidRPr="002401B6">
        <w:rPr>
          <w:lang w:val="en-GB"/>
        </w:rPr>
        <w:t xml:space="preserve">the support of EU funding. </w:t>
      </w:r>
      <w:r w:rsidRPr="002401B6" w:rsidR="00AF3611">
        <w:rPr>
          <w:lang w:val="en-GB"/>
        </w:rPr>
        <w:t xml:space="preserve">The </w:t>
      </w:r>
      <w:r w:rsidRPr="002401B6">
        <w:rPr>
          <w:lang w:val="en-GB"/>
        </w:rPr>
        <w:t>Plan</w:t>
      </w:r>
      <w:r w:rsidRPr="002401B6" w:rsidR="00201A03">
        <w:rPr>
          <w:lang w:val="en-GB"/>
        </w:rPr>
        <w:t>'</w:t>
      </w:r>
      <w:r w:rsidRPr="002401B6">
        <w:rPr>
          <w:lang w:val="en-GB"/>
        </w:rPr>
        <w:t xml:space="preserve">s implementation needs to respond to the </w:t>
      </w:r>
      <w:r w:rsidRPr="002401B6" w:rsidR="00AF3611">
        <w:rPr>
          <w:lang w:val="en-GB"/>
        </w:rPr>
        <w:t>specific</w:t>
      </w:r>
      <w:r w:rsidRPr="002401B6">
        <w:rPr>
          <w:lang w:val="en-GB"/>
        </w:rPr>
        <w:t xml:space="preserve"> and particular needs of patients and survivors and adapt to </w:t>
      </w:r>
      <w:r w:rsidRPr="002401B6" w:rsidR="00AF3611">
        <w:rPr>
          <w:lang w:val="en-GB"/>
        </w:rPr>
        <w:t xml:space="preserve">the </w:t>
      </w:r>
      <w:r w:rsidRPr="002401B6">
        <w:rPr>
          <w:lang w:val="en-GB"/>
        </w:rPr>
        <w:t>different national circumstances</w:t>
      </w:r>
      <w:r w:rsidRPr="002401B6" w:rsidR="004D03D2">
        <w:rPr>
          <w:lang w:val="en-GB"/>
        </w:rPr>
        <w:t xml:space="preserve"> – including people's different socio-economic environment, age, gender, disability, etc</w:t>
      </w:r>
      <w:r w:rsidRPr="002401B6">
        <w:rPr>
          <w:lang w:val="en-GB"/>
        </w:rPr>
        <w:t>.</w:t>
      </w:r>
    </w:p>
    <w:p w:rsidRPr="002401B6" w:rsidR="00EE1C7F" w:rsidP="00EE1C7F" w:rsidRDefault="00EE1C7F">
      <w:pPr>
        <w:ind w:left="567" w:hanging="567"/>
        <w:rPr>
          <w:lang w:val="en-GB"/>
        </w:rPr>
      </w:pPr>
    </w:p>
    <w:p w:rsidRPr="002401B6" w:rsidR="00781690" w:rsidP="00804D54" w:rsidRDefault="00EE1C7F">
      <w:pPr>
        <w:pStyle w:val="Heading2"/>
        <w:rPr>
          <w:lang w:val="en-GB"/>
        </w:rPr>
      </w:pPr>
      <w:r w:rsidRPr="002401B6">
        <w:rPr>
          <w:lang w:val="en-GB"/>
        </w:rPr>
        <w:t xml:space="preserve">The EESC also calls for improved possibilities for cancer patients to benefit from high-quality treatment, care </w:t>
      </w:r>
      <w:r w:rsidRPr="002401B6" w:rsidR="0081361B">
        <w:rPr>
          <w:lang w:val="en-GB"/>
        </w:rPr>
        <w:t>and</w:t>
      </w:r>
      <w:r w:rsidRPr="002401B6">
        <w:rPr>
          <w:lang w:val="en-GB"/>
        </w:rPr>
        <w:t xml:space="preserve"> expertise provided by other MS</w:t>
      </w:r>
      <w:r w:rsidRPr="002401B6" w:rsidR="00B72C62">
        <w:rPr>
          <w:lang w:val="en-GB"/>
        </w:rPr>
        <w:t>, as well as from the availability of medicines, medical equipment and other medical products provided by a well-functioning single market</w:t>
      </w:r>
      <w:r w:rsidRPr="002401B6" w:rsidR="00781690">
        <w:rPr>
          <w:lang w:val="en-GB"/>
        </w:rPr>
        <w:t>.</w:t>
      </w:r>
    </w:p>
    <w:p w:rsidRPr="002401B6" w:rsidR="00EE1C7F" w:rsidP="00804D54" w:rsidRDefault="00EE1C7F">
      <w:pPr>
        <w:pStyle w:val="Heading2"/>
        <w:numPr>
          <w:ilvl w:val="0"/>
          <w:numId w:val="0"/>
        </w:numPr>
        <w:ind w:left="567"/>
        <w:rPr>
          <w:lang w:val="en-GB"/>
        </w:rPr>
      </w:pPr>
    </w:p>
    <w:p w:rsidRPr="002401B6" w:rsidR="00EE1C7F" w:rsidP="00EE1C7F" w:rsidRDefault="00EE1C7F">
      <w:pPr>
        <w:pStyle w:val="Heading2"/>
        <w:rPr>
          <w:lang w:val="en-GB"/>
        </w:rPr>
      </w:pPr>
      <w:r w:rsidRPr="002401B6">
        <w:rPr>
          <w:lang w:val="en-GB"/>
        </w:rPr>
        <w:t xml:space="preserve">The EESC considers research and innovation a cornerstone for better understanding cancer risk factors and improving diagnoses, therapies and treatments. Innovation ecosystems, involving different sized enterprises, researchers, patients, health professionals and authorities, need to be </w:t>
      </w:r>
      <w:r w:rsidRPr="002401B6" w:rsidR="00EE5D6D">
        <w:rPr>
          <w:lang w:val="en-GB"/>
        </w:rPr>
        <w:t xml:space="preserve">encouraged, </w:t>
      </w:r>
      <w:r w:rsidRPr="002401B6">
        <w:rPr>
          <w:lang w:val="en-GB"/>
        </w:rPr>
        <w:t>advanced and supported by EU and national funding, particularly through partnerships under Horizon Europe.</w:t>
      </w:r>
    </w:p>
    <w:p w:rsidRPr="002401B6" w:rsidR="00EE1C7F" w:rsidP="00EE1C7F" w:rsidRDefault="00EE1C7F">
      <w:pPr>
        <w:ind w:left="567" w:hanging="567"/>
        <w:rPr>
          <w:lang w:val="en-GB"/>
        </w:rPr>
      </w:pPr>
    </w:p>
    <w:p w:rsidRPr="002401B6" w:rsidR="00EE1C7F" w:rsidP="00EE1C7F" w:rsidRDefault="00EE1C7F">
      <w:pPr>
        <w:pStyle w:val="Heading2"/>
        <w:rPr>
          <w:lang w:val="en-GB"/>
        </w:rPr>
      </w:pPr>
      <w:r w:rsidRPr="002401B6">
        <w:rPr>
          <w:lang w:val="en-GB"/>
        </w:rPr>
        <w:t>The EESC emphasises the need for major efforts to be focused on the generation, availability and accessibility of data to help develop more advanced prevention, diagnosis and treatment methods. Linking digital health data with the genomic data of biobanks must be facilitated to enable personalised prevention and care. The development and use of data analytics methods, including AI, also need to be enhanced through strengthened EU cooperation.</w:t>
      </w:r>
    </w:p>
    <w:p w:rsidRPr="002401B6" w:rsidR="00EE1C7F" w:rsidP="00EE1C7F" w:rsidRDefault="00EE1C7F">
      <w:pPr>
        <w:ind w:left="567" w:hanging="567"/>
        <w:rPr>
          <w:lang w:val="en-GB"/>
        </w:rPr>
      </w:pPr>
    </w:p>
    <w:p w:rsidRPr="002401B6" w:rsidR="00AE5313" w:rsidP="00804D54" w:rsidRDefault="00AE5313">
      <w:pPr>
        <w:pStyle w:val="Heading2"/>
        <w:rPr>
          <w:lang w:val="en-GB"/>
        </w:rPr>
      </w:pPr>
      <w:r w:rsidRPr="00804D54">
        <w:rPr>
          <w:iCs/>
          <w:lang w:val="en-GB"/>
        </w:rPr>
        <w:t>The EESC stresses the importance of reducing tobacco smoking and notes the report from the Commission on the application of Directive 2014/40/EU concerning the manufacture, presentation and sale of tobacco and related products</w:t>
      </w:r>
      <w:r w:rsidRPr="00804D54">
        <w:rPr>
          <w:iCs/>
          <w:vertAlign w:val="superscript"/>
          <w:lang w:val="en-GB"/>
        </w:rPr>
        <w:footnoteReference w:id="1"/>
      </w:r>
      <w:r w:rsidRPr="00804D54">
        <w:rPr>
          <w:iCs/>
          <w:lang w:val="en-GB"/>
        </w:rPr>
        <w:t xml:space="preserve"> and its conclusions, aimed at reducing smokers' exposure to hazardous and/or addictive substances. In this context, noting the Commission opinion on emissions and measurement methods [section 3.1 of the report], the EESC also advocates further research on the testing method for the content of smoke emissions, including via the WHO-Intense method, and advocates implementation of WHO recommendations based on research outcomes.</w:t>
      </w:r>
    </w:p>
    <w:p w:rsidRPr="002401B6" w:rsidR="00AE5313" w:rsidP="00EE1C7F" w:rsidRDefault="00AE5313">
      <w:pPr>
        <w:ind w:left="567" w:hanging="567"/>
        <w:rPr>
          <w:lang w:val="en-GB"/>
        </w:rPr>
      </w:pPr>
    </w:p>
    <w:p w:rsidRPr="002401B6" w:rsidR="00EE1C7F" w:rsidP="00E05E2E" w:rsidRDefault="00EE1C7F">
      <w:pPr>
        <w:pStyle w:val="Heading2"/>
        <w:rPr>
          <w:lang w:val="en-GB"/>
        </w:rPr>
      </w:pPr>
      <w:r w:rsidRPr="002401B6">
        <w:rPr>
          <w:lang w:val="en-GB"/>
        </w:rPr>
        <w:t xml:space="preserve">To contribute to the effective prevention of occupational cancer, the EESC calls for more research into occupational exposure to carcinogens, </w:t>
      </w:r>
      <w:r w:rsidRPr="002401B6" w:rsidR="00D342F0">
        <w:rPr>
          <w:lang w:val="en-GB"/>
        </w:rPr>
        <w:t>mutagens</w:t>
      </w:r>
      <w:r w:rsidRPr="002401B6">
        <w:rPr>
          <w:lang w:val="en-GB"/>
        </w:rPr>
        <w:t xml:space="preserve"> and endocrine disruptors and the causes of occupational cancers, particularly in women. </w:t>
      </w:r>
      <w:r w:rsidRPr="002401B6" w:rsidR="004D03D2">
        <w:rPr>
          <w:lang w:val="en-GB"/>
        </w:rPr>
        <w:t xml:space="preserve">The EESC acknowledges the cancer-related legislative initiatives </w:t>
      </w:r>
      <w:r w:rsidRPr="002401B6" w:rsidR="00543661">
        <w:rPr>
          <w:lang w:val="en-GB"/>
        </w:rPr>
        <w:t>in</w:t>
      </w:r>
      <w:r w:rsidRPr="002401B6" w:rsidR="004D03D2">
        <w:rPr>
          <w:lang w:val="en-GB"/>
        </w:rPr>
        <w:t xml:space="preserve"> the Plan to reduce occupational exposure to cancer</w:t>
      </w:r>
      <w:r w:rsidRPr="002401B6" w:rsidR="00543661">
        <w:rPr>
          <w:lang w:val="en-GB"/>
        </w:rPr>
        <w:t>,</w:t>
      </w:r>
      <w:r w:rsidRPr="002401B6" w:rsidR="004D03D2">
        <w:rPr>
          <w:lang w:val="en-GB"/>
        </w:rPr>
        <w:t xml:space="preserve"> and stresses the need for any possible updating to be science- and evidence-based and </w:t>
      </w:r>
      <w:r w:rsidRPr="002401B6" w:rsidR="00201A03">
        <w:rPr>
          <w:lang w:val="en-GB"/>
        </w:rPr>
        <w:t>underpinned by</w:t>
      </w:r>
      <w:r w:rsidRPr="002401B6" w:rsidR="004D03D2">
        <w:rPr>
          <w:lang w:val="en-GB"/>
        </w:rPr>
        <w:t xml:space="preserve"> consultations with the</w:t>
      </w:r>
      <w:r w:rsidRPr="002401B6" w:rsidR="00507CF1">
        <w:rPr>
          <w:lang w:val="en-GB"/>
        </w:rPr>
        <w:t xml:space="preserve"> SP</w:t>
      </w:r>
      <w:r w:rsidRPr="002401B6" w:rsidR="004D03D2">
        <w:rPr>
          <w:lang w:val="en-GB"/>
        </w:rPr>
        <w:t xml:space="preserve">. The EESC </w:t>
      </w:r>
      <w:r w:rsidRPr="002401B6" w:rsidR="00543661">
        <w:rPr>
          <w:lang w:val="en-GB"/>
        </w:rPr>
        <w:t>underlines</w:t>
      </w:r>
      <w:r w:rsidRPr="002401B6" w:rsidR="004D03D2">
        <w:rPr>
          <w:lang w:val="en-GB"/>
        </w:rPr>
        <w:t xml:space="preserve"> the need to promote and support research and development on finding replacements </w:t>
      </w:r>
      <w:r w:rsidRPr="002401B6" w:rsidR="00201A03">
        <w:rPr>
          <w:lang w:val="en-GB"/>
        </w:rPr>
        <w:t>for</w:t>
      </w:r>
      <w:r w:rsidRPr="002401B6" w:rsidR="004D03D2">
        <w:rPr>
          <w:lang w:val="en-GB"/>
        </w:rPr>
        <w:t xml:space="preserve"> dangerous substances and products. With respect to asbestos, the EESC refers to its previous opinions, including the proposals on the recognition and compensation aspects</w:t>
      </w:r>
      <w:r w:rsidRPr="002401B6" w:rsidR="004D03D2">
        <w:rPr>
          <w:vertAlign w:val="superscript"/>
          <w:lang w:val="en-GB"/>
        </w:rPr>
        <w:footnoteReference w:id="2"/>
      </w:r>
      <w:r w:rsidRPr="002401B6" w:rsidR="004D03D2">
        <w:rPr>
          <w:lang w:val="en-GB"/>
        </w:rPr>
        <w:t xml:space="preserve">. </w:t>
      </w:r>
      <w:r w:rsidRPr="002401B6">
        <w:rPr>
          <w:lang w:val="en-GB"/>
        </w:rPr>
        <w:t xml:space="preserve">It also calls for consideration of multiple exposures in risk assessment and management at work, and for data on occupational exposures </w:t>
      </w:r>
      <w:r w:rsidRPr="002401B6" w:rsidR="00EE3165">
        <w:rPr>
          <w:lang w:val="en-GB"/>
        </w:rPr>
        <w:t xml:space="preserve">to be integrated </w:t>
      </w:r>
      <w:r w:rsidRPr="002401B6">
        <w:rPr>
          <w:lang w:val="en-GB"/>
        </w:rPr>
        <w:t>into early detection programmes.</w:t>
      </w:r>
    </w:p>
    <w:p w:rsidRPr="002401B6" w:rsidR="00EE1C7F" w:rsidP="00EE1C7F" w:rsidRDefault="00EE1C7F">
      <w:pPr>
        <w:ind w:left="567" w:hanging="567"/>
        <w:rPr>
          <w:lang w:val="en-GB"/>
        </w:rPr>
      </w:pPr>
    </w:p>
    <w:p w:rsidRPr="002401B6" w:rsidR="00EE1C7F" w:rsidP="00EE1C7F" w:rsidRDefault="00EE1C7F">
      <w:pPr>
        <w:pStyle w:val="Heading2"/>
        <w:rPr>
          <w:lang w:val="en-GB"/>
        </w:rPr>
      </w:pPr>
      <w:r w:rsidRPr="002401B6">
        <w:rPr>
          <w:lang w:val="en-GB"/>
        </w:rPr>
        <w:t xml:space="preserve">The successful beating of cancer requires </w:t>
      </w:r>
      <w:r w:rsidRPr="002401B6" w:rsidR="00874ACD">
        <w:rPr>
          <w:lang w:val="en-GB"/>
        </w:rPr>
        <w:t xml:space="preserve">international cooperation and </w:t>
      </w:r>
      <w:r w:rsidRPr="002401B6">
        <w:rPr>
          <w:lang w:val="en-GB"/>
        </w:rPr>
        <w:t>high-quality education in cancer-related disciplines, including cooperation between the MS in education and skills promotion program</w:t>
      </w:r>
      <w:r w:rsidRPr="002401B6" w:rsidR="00D81F78">
        <w:rPr>
          <w:lang w:val="en-GB"/>
        </w:rPr>
        <w:t>me</w:t>
      </w:r>
      <w:r w:rsidRPr="002401B6">
        <w:rPr>
          <w:lang w:val="en-GB"/>
        </w:rPr>
        <w:t>s supported by the EU and implemented also by joint actions of the</w:t>
      </w:r>
      <w:r w:rsidRPr="002401B6" w:rsidR="003E5C89">
        <w:rPr>
          <w:lang w:val="en-GB"/>
        </w:rPr>
        <w:t xml:space="preserve"> </w:t>
      </w:r>
      <w:r w:rsidRPr="002401B6" w:rsidR="00874ACD">
        <w:rPr>
          <w:lang w:val="en-GB"/>
        </w:rPr>
        <w:t>SP</w:t>
      </w:r>
      <w:r w:rsidRPr="002401B6">
        <w:rPr>
          <w:lang w:val="en-GB"/>
        </w:rPr>
        <w:t xml:space="preserve">. Cooperation is </w:t>
      </w:r>
      <w:r w:rsidRPr="002401B6" w:rsidR="00874ACD">
        <w:rPr>
          <w:lang w:val="en-GB"/>
        </w:rPr>
        <w:t xml:space="preserve">also </w:t>
      </w:r>
      <w:r w:rsidRPr="002401B6">
        <w:rPr>
          <w:lang w:val="en-GB"/>
        </w:rPr>
        <w:t>particularly important in the field of research and innovation and in facilitating knowledge</w:t>
      </w:r>
      <w:r w:rsidRPr="002401B6" w:rsidR="00D81F78">
        <w:rPr>
          <w:lang w:val="en-GB"/>
        </w:rPr>
        <w:t>-</w:t>
      </w:r>
      <w:r w:rsidRPr="002401B6">
        <w:rPr>
          <w:lang w:val="en-GB"/>
        </w:rPr>
        <w:t xml:space="preserve">sharing. Moreover, open and </w:t>
      </w:r>
      <w:r w:rsidRPr="002401B6" w:rsidR="00874ACD">
        <w:rPr>
          <w:lang w:val="en-GB"/>
        </w:rPr>
        <w:t xml:space="preserve">structured collaboration </w:t>
      </w:r>
      <w:r w:rsidRPr="002401B6">
        <w:rPr>
          <w:lang w:val="en-GB"/>
        </w:rPr>
        <w:t>is needed to ensure the availability of medicines, equipment and other goods for cancer treatments.</w:t>
      </w:r>
    </w:p>
    <w:p w:rsidRPr="002401B6" w:rsidR="00EE1C7F" w:rsidP="00EE1C7F" w:rsidRDefault="00EE1C7F">
      <w:pPr>
        <w:pStyle w:val="Heading2"/>
        <w:numPr>
          <w:ilvl w:val="0"/>
          <w:numId w:val="0"/>
        </w:numPr>
        <w:ind w:left="567" w:hanging="567"/>
        <w:rPr>
          <w:lang w:val="en-GB"/>
        </w:rPr>
      </w:pPr>
    </w:p>
    <w:p w:rsidRPr="002401B6" w:rsidR="00EE1C7F" w:rsidP="00EE1C7F" w:rsidRDefault="00EE1C7F">
      <w:pPr>
        <w:pStyle w:val="Heading2"/>
        <w:rPr>
          <w:lang w:val="en-GB"/>
        </w:rPr>
      </w:pPr>
      <w:r w:rsidRPr="002401B6">
        <w:rPr>
          <w:lang w:val="en-GB"/>
        </w:rPr>
        <w:t xml:space="preserve">Enterprises play a central role in developing solutions for </w:t>
      </w:r>
      <w:r w:rsidRPr="002401B6" w:rsidR="00D81F78">
        <w:rPr>
          <w:lang w:val="en-GB"/>
        </w:rPr>
        <w:t>cancer</w:t>
      </w:r>
      <w:r w:rsidRPr="002401B6">
        <w:rPr>
          <w:lang w:val="en-GB"/>
        </w:rPr>
        <w:t xml:space="preserve"> prevention, screening, diagnostics and treatment. They also strive to beat cancer by reducing their environmental impacts, developing and producing safe products</w:t>
      </w:r>
      <w:r w:rsidRPr="002401B6" w:rsidR="00EE5D6D">
        <w:rPr>
          <w:lang w:val="en-GB"/>
        </w:rPr>
        <w:t xml:space="preserve"> or modified, less-harmful products</w:t>
      </w:r>
      <w:r w:rsidRPr="002401B6">
        <w:rPr>
          <w:lang w:val="en-GB"/>
        </w:rPr>
        <w:t>, improving health and safety in workplaces, and supporting patients in combining work and cancer treatment and returning smoothly to work. To encourage this, the EU needs to provide favourable conditions for innovation, investment and running businesses.</w:t>
      </w:r>
    </w:p>
    <w:p w:rsidRPr="002401B6" w:rsidR="00EE1C7F" w:rsidP="00EE1C7F" w:rsidRDefault="00EE1C7F">
      <w:pPr>
        <w:ind w:left="567" w:hanging="567"/>
        <w:rPr>
          <w:lang w:val="en-GB"/>
        </w:rPr>
      </w:pPr>
    </w:p>
    <w:p w:rsidRPr="002401B6" w:rsidR="00874ACD" w:rsidP="00EE1C7F" w:rsidRDefault="00EE1C7F">
      <w:pPr>
        <w:pStyle w:val="Heading2"/>
        <w:rPr>
          <w:lang w:val="en-GB"/>
        </w:rPr>
      </w:pPr>
      <w:r w:rsidRPr="002401B6">
        <w:rPr>
          <w:lang w:val="en-GB"/>
        </w:rPr>
        <w:t xml:space="preserve">The EESC calls for close involvement of the </w:t>
      </w:r>
      <w:r w:rsidRPr="002401B6" w:rsidR="00874ACD">
        <w:rPr>
          <w:lang w:val="en-GB"/>
        </w:rPr>
        <w:t>SP</w:t>
      </w:r>
      <w:r w:rsidRPr="002401B6">
        <w:rPr>
          <w:lang w:val="en-GB"/>
        </w:rPr>
        <w:t xml:space="preserve"> and </w:t>
      </w:r>
      <w:r w:rsidRPr="002401B6" w:rsidR="00874ACD">
        <w:rPr>
          <w:lang w:val="en-GB"/>
        </w:rPr>
        <w:t>CSO</w:t>
      </w:r>
      <w:r w:rsidRPr="002401B6">
        <w:rPr>
          <w:lang w:val="en-GB"/>
        </w:rPr>
        <w:t xml:space="preserve"> in the further development and follow-up of </w:t>
      </w:r>
      <w:r w:rsidRPr="002401B6" w:rsidR="00D81F78">
        <w:rPr>
          <w:lang w:val="en-GB"/>
        </w:rPr>
        <w:t xml:space="preserve">the </w:t>
      </w:r>
      <w:r w:rsidRPr="002401B6" w:rsidR="00874ACD">
        <w:rPr>
          <w:lang w:val="en-GB"/>
        </w:rPr>
        <w:t>Plan</w:t>
      </w:r>
      <w:r w:rsidRPr="002401B6">
        <w:rPr>
          <w:lang w:val="en-GB"/>
        </w:rPr>
        <w:t xml:space="preserve">, together with targeted promotion and funding for joint actions of </w:t>
      </w:r>
      <w:r w:rsidRPr="002401B6" w:rsidR="00D81F78">
        <w:rPr>
          <w:lang w:val="en-GB"/>
        </w:rPr>
        <w:t xml:space="preserve">the </w:t>
      </w:r>
      <w:r w:rsidRPr="002401B6" w:rsidR="00874ACD">
        <w:rPr>
          <w:lang w:val="en-GB"/>
        </w:rPr>
        <w:t>SP</w:t>
      </w:r>
      <w:r w:rsidRPr="002401B6">
        <w:rPr>
          <w:lang w:val="en-GB"/>
        </w:rPr>
        <w:t xml:space="preserve"> and CSOs, including a broad representation of different sectors.</w:t>
      </w:r>
    </w:p>
    <w:p w:rsidRPr="002401B6" w:rsidR="00874ACD" w:rsidP="00B42AB5" w:rsidRDefault="00874ACD">
      <w:pPr>
        <w:rPr>
          <w:lang w:val="en-GB"/>
        </w:rPr>
      </w:pPr>
    </w:p>
    <w:p w:rsidRPr="002401B6" w:rsidR="00011D33" w:rsidP="00874ACD" w:rsidRDefault="00EE1C7F">
      <w:pPr>
        <w:pStyle w:val="Heading2"/>
        <w:rPr>
          <w:lang w:val="en-GB"/>
        </w:rPr>
      </w:pPr>
      <w:r w:rsidRPr="002401B6">
        <w:rPr>
          <w:lang w:val="en-GB"/>
        </w:rPr>
        <w:t xml:space="preserve">The EESC calls for EU-wide campaigns to increase awareness and knowledge </w:t>
      </w:r>
      <w:r w:rsidRPr="002401B6" w:rsidR="00D81F78">
        <w:rPr>
          <w:lang w:val="en-GB"/>
        </w:rPr>
        <w:t>of</w:t>
      </w:r>
      <w:r w:rsidRPr="002401B6">
        <w:rPr>
          <w:lang w:val="en-GB"/>
        </w:rPr>
        <w:t xml:space="preserve"> measures to prevent and manage cancer </w:t>
      </w:r>
      <w:r w:rsidRPr="002401B6" w:rsidR="00D81F78">
        <w:rPr>
          <w:lang w:val="en-GB"/>
        </w:rPr>
        <w:t>in</w:t>
      </w:r>
      <w:r w:rsidRPr="002401B6">
        <w:rPr>
          <w:lang w:val="en-GB"/>
        </w:rPr>
        <w:t xml:space="preserve"> workplaces, and </w:t>
      </w:r>
      <w:r w:rsidRPr="002401B6" w:rsidR="00D81F78">
        <w:rPr>
          <w:lang w:val="en-GB"/>
        </w:rPr>
        <w:t>of</w:t>
      </w:r>
      <w:r w:rsidRPr="002401B6">
        <w:rPr>
          <w:lang w:val="en-GB"/>
        </w:rPr>
        <w:t xml:space="preserve"> the role of </w:t>
      </w:r>
      <w:r w:rsidRPr="002401B6" w:rsidR="00874ACD">
        <w:rPr>
          <w:lang w:val="en-GB"/>
        </w:rPr>
        <w:t>high</w:t>
      </w:r>
      <w:r w:rsidRPr="002401B6" w:rsidR="00543661">
        <w:rPr>
          <w:lang w:val="en-GB"/>
        </w:rPr>
        <w:t>-</w:t>
      </w:r>
      <w:r w:rsidRPr="002401B6" w:rsidR="00874ACD">
        <w:rPr>
          <w:lang w:val="en-GB"/>
        </w:rPr>
        <w:t xml:space="preserve">quality food products, clean water and air, </w:t>
      </w:r>
      <w:r w:rsidRPr="002401B6" w:rsidR="00201A03">
        <w:rPr>
          <w:lang w:val="en-GB"/>
        </w:rPr>
        <w:t xml:space="preserve">and </w:t>
      </w:r>
      <w:r w:rsidRPr="002401B6" w:rsidR="00874ACD">
        <w:rPr>
          <w:lang w:val="en-GB"/>
        </w:rPr>
        <w:t xml:space="preserve">healthy </w:t>
      </w:r>
      <w:r w:rsidRPr="002401B6">
        <w:rPr>
          <w:lang w:val="en-GB"/>
        </w:rPr>
        <w:t>individual lifestyle</w:t>
      </w:r>
      <w:r w:rsidRPr="002401B6" w:rsidR="00D81F78">
        <w:rPr>
          <w:lang w:val="en-GB"/>
        </w:rPr>
        <w:t>s</w:t>
      </w:r>
      <w:r w:rsidRPr="002401B6">
        <w:rPr>
          <w:lang w:val="en-GB"/>
        </w:rPr>
        <w:t>, including diet</w:t>
      </w:r>
      <w:r w:rsidRPr="002401B6" w:rsidR="00EE5D6D">
        <w:rPr>
          <w:lang w:val="en-GB"/>
        </w:rPr>
        <w:t>,</w:t>
      </w:r>
      <w:r w:rsidRPr="002401B6">
        <w:rPr>
          <w:lang w:val="en-GB"/>
        </w:rPr>
        <w:t xml:space="preserve"> exercise</w:t>
      </w:r>
      <w:r w:rsidRPr="002401B6" w:rsidR="00EE5D6D">
        <w:rPr>
          <w:lang w:val="en-GB"/>
        </w:rPr>
        <w:t xml:space="preserve"> and the choice of better alternatives</w:t>
      </w:r>
      <w:r w:rsidRPr="002401B6">
        <w:rPr>
          <w:lang w:val="en-GB"/>
        </w:rPr>
        <w:t>, in cancer prevention. Communication</w:t>
      </w:r>
      <w:r w:rsidRPr="002401B6" w:rsidR="00D81F78">
        <w:rPr>
          <w:lang w:val="en-GB"/>
        </w:rPr>
        <w:t>,</w:t>
      </w:r>
      <w:r w:rsidRPr="002401B6">
        <w:rPr>
          <w:lang w:val="en-GB"/>
        </w:rPr>
        <w:t xml:space="preserve"> with the aim of making the Plan and its measures understandable and credible to European citizens</w:t>
      </w:r>
      <w:r w:rsidRPr="002401B6" w:rsidR="00D81F78">
        <w:rPr>
          <w:lang w:val="en-GB"/>
        </w:rPr>
        <w:t>,</w:t>
      </w:r>
      <w:r w:rsidRPr="002401B6">
        <w:rPr>
          <w:lang w:val="en-GB"/>
        </w:rPr>
        <w:t xml:space="preserve"> </w:t>
      </w:r>
      <w:r w:rsidRPr="002401B6" w:rsidR="00D81F78">
        <w:rPr>
          <w:lang w:val="en-GB"/>
        </w:rPr>
        <w:t xml:space="preserve">will </w:t>
      </w:r>
      <w:r w:rsidRPr="002401B6">
        <w:rPr>
          <w:lang w:val="en-GB"/>
        </w:rPr>
        <w:t>play a crucial role in the success of the Plan and the achievement of its goals.</w:t>
      </w:r>
    </w:p>
    <w:p w:rsidRPr="002401B6" w:rsidR="00011D33" w:rsidP="0015678B" w:rsidRDefault="00011D33">
      <w:pPr>
        <w:rPr>
          <w:lang w:val="en-GB"/>
        </w:rPr>
      </w:pPr>
    </w:p>
    <w:p w:rsidRPr="002401B6" w:rsidR="00011D33" w:rsidP="0015678B" w:rsidRDefault="00011D33">
      <w:pPr>
        <w:pStyle w:val="Heading1"/>
        <w:keepNext/>
        <w:rPr>
          <w:lang w:val="en-GB"/>
        </w:rPr>
      </w:pPr>
      <w:r w:rsidRPr="002401B6">
        <w:rPr>
          <w:b/>
          <w:lang w:val="en-GB"/>
        </w:rPr>
        <w:t>General comments</w:t>
      </w:r>
    </w:p>
    <w:p w:rsidRPr="002401B6" w:rsidR="00011D33" w:rsidP="0015678B" w:rsidRDefault="00011D33">
      <w:pPr>
        <w:keepNext/>
        <w:rPr>
          <w:lang w:val="en-GB"/>
        </w:rPr>
      </w:pPr>
    </w:p>
    <w:p w:rsidRPr="002401B6" w:rsidR="00A42962" w:rsidP="00A42962" w:rsidRDefault="00A42962">
      <w:pPr>
        <w:pStyle w:val="Heading2"/>
        <w:rPr>
          <w:lang w:val="en-GB"/>
        </w:rPr>
      </w:pPr>
      <w:r w:rsidRPr="002401B6">
        <w:rPr>
          <w:lang w:val="en-GB"/>
        </w:rPr>
        <w:t xml:space="preserve">The EESC welcomes </w:t>
      </w:r>
      <w:r w:rsidRPr="002401B6" w:rsidR="00814580">
        <w:rPr>
          <w:lang w:val="en-GB"/>
        </w:rPr>
        <w:t xml:space="preserve">the </w:t>
      </w:r>
      <w:r w:rsidRPr="002401B6" w:rsidR="00874ACD">
        <w:rPr>
          <w:lang w:val="en-GB"/>
        </w:rPr>
        <w:t>Plan</w:t>
      </w:r>
      <w:r w:rsidRPr="002401B6">
        <w:rPr>
          <w:lang w:val="en-GB"/>
        </w:rPr>
        <w:t xml:space="preserve"> as a milestone in the fight against the growing problem of </w:t>
      </w:r>
      <w:r w:rsidRPr="002401B6" w:rsidR="00543661">
        <w:rPr>
          <w:lang w:val="en-GB"/>
        </w:rPr>
        <w:t xml:space="preserve">the burden of </w:t>
      </w:r>
      <w:r w:rsidRPr="002401B6">
        <w:rPr>
          <w:lang w:val="en-GB"/>
        </w:rPr>
        <w:t>cancer</w:t>
      </w:r>
      <w:r w:rsidRPr="002401B6" w:rsidR="00EE1C7F">
        <w:rPr>
          <w:lang w:val="en-GB"/>
        </w:rPr>
        <w:t xml:space="preserve"> </w:t>
      </w:r>
      <w:r w:rsidRPr="002401B6">
        <w:rPr>
          <w:lang w:val="en-GB"/>
        </w:rPr>
        <w:t>among EU citizens. As the EESC finds the proposal too general, it invites the EC to describe how it will be translated into concrete action and impact prevention and patients</w:t>
      </w:r>
      <w:r w:rsidRPr="002401B6" w:rsidR="00B0563B">
        <w:rPr>
          <w:lang w:val="en-GB"/>
        </w:rPr>
        <w:t>'</w:t>
      </w:r>
      <w:r w:rsidRPr="002401B6">
        <w:rPr>
          <w:lang w:val="en-GB"/>
        </w:rPr>
        <w:t xml:space="preserve"> situation. The </w:t>
      </w:r>
      <w:r w:rsidRPr="002401B6" w:rsidR="00874ACD">
        <w:rPr>
          <w:lang w:val="en-GB"/>
        </w:rPr>
        <w:t>EESC</w:t>
      </w:r>
      <w:r w:rsidRPr="002401B6">
        <w:rPr>
          <w:lang w:val="en-GB"/>
        </w:rPr>
        <w:t xml:space="preserve"> also calls for a roadmap </w:t>
      </w:r>
      <w:r w:rsidRPr="002401B6" w:rsidR="00814580">
        <w:rPr>
          <w:lang w:val="en-GB"/>
        </w:rPr>
        <w:t xml:space="preserve">to be established </w:t>
      </w:r>
      <w:r w:rsidRPr="002401B6">
        <w:rPr>
          <w:lang w:val="en-GB"/>
        </w:rPr>
        <w:t>that would detail the implementation of the Plan and incorporate performance indicators and realistic timeframes for this strategy.</w:t>
      </w:r>
    </w:p>
    <w:p w:rsidRPr="002401B6" w:rsidR="00A42962" w:rsidP="00A42962" w:rsidRDefault="00A42962">
      <w:pPr>
        <w:pStyle w:val="Heading2"/>
        <w:numPr>
          <w:ilvl w:val="0"/>
          <w:numId w:val="0"/>
        </w:numPr>
        <w:rPr>
          <w:lang w:val="en-GB"/>
        </w:rPr>
      </w:pPr>
    </w:p>
    <w:p w:rsidRPr="002401B6" w:rsidR="00A42962" w:rsidP="00A42962" w:rsidRDefault="00A42962">
      <w:pPr>
        <w:pStyle w:val="Heading2"/>
        <w:rPr>
          <w:lang w:val="en-GB"/>
        </w:rPr>
      </w:pPr>
      <w:r w:rsidRPr="002401B6">
        <w:rPr>
          <w:lang w:val="en-GB"/>
        </w:rPr>
        <w:t>The EESC applauds the proposals for a multi-faceted and innovative approach to tackling cancer, based on prevention, early detection, diagnosis and treatment and improving the quality of life of patients and survivors</w:t>
      </w:r>
      <w:r w:rsidRPr="002401B6" w:rsidR="00EE1C7F">
        <w:rPr>
          <w:lang w:val="en-GB"/>
        </w:rPr>
        <w:t xml:space="preserve"> – also in particular by </w:t>
      </w:r>
      <w:r w:rsidRPr="002401B6" w:rsidR="00814580">
        <w:rPr>
          <w:lang w:val="en-GB"/>
        </w:rPr>
        <w:t>keeping</w:t>
      </w:r>
      <w:r w:rsidRPr="002401B6" w:rsidR="00EE1C7F">
        <w:rPr>
          <w:lang w:val="en-GB"/>
        </w:rPr>
        <w:t xml:space="preserve"> </w:t>
      </w:r>
      <w:r w:rsidRPr="002401B6" w:rsidR="00D342F0">
        <w:rPr>
          <w:lang w:val="en-GB"/>
        </w:rPr>
        <w:t>them</w:t>
      </w:r>
      <w:r w:rsidRPr="002401B6" w:rsidR="00EE1C7F">
        <w:rPr>
          <w:lang w:val="en-GB"/>
        </w:rPr>
        <w:t xml:space="preserve"> in employment</w:t>
      </w:r>
      <w:r w:rsidRPr="002401B6">
        <w:rPr>
          <w:lang w:val="en-GB"/>
        </w:rPr>
        <w:t xml:space="preserve">. Notably, while cancer </w:t>
      </w:r>
      <w:r w:rsidRPr="002401B6" w:rsidR="00EE1C7F">
        <w:rPr>
          <w:lang w:val="en-GB"/>
        </w:rPr>
        <w:t xml:space="preserve">prevention </w:t>
      </w:r>
      <w:r w:rsidRPr="002401B6">
        <w:rPr>
          <w:lang w:val="en-GB"/>
        </w:rPr>
        <w:t xml:space="preserve">is of </w:t>
      </w:r>
      <w:r w:rsidRPr="002401B6" w:rsidR="002445E0">
        <w:rPr>
          <w:lang w:val="en-GB"/>
        </w:rPr>
        <w:t xml:space="preserve">the </w:t>
      </w:r>
      <w:r w:rsidRPr="002401B6">
        <w:rPr>
          <w:lang w:val="en-GB"/>
        </w:rPr>
        <w:t xml:space="preserve">utmost significance, it is equally important for the EU and </w:t>
      </w:r>
      <w:r w:rsidRPr="002401B6" w:rsidR="00874ACD">
        <w:rPr>
          <w:lang w:val="en-GB"/>
        </w:rPr>
        <w:t>MS</w:t>
      </w:r>
      <w:r w:rsidRPr="002401B6">
        <w:rPr>
          <w:lang w:val="en-GB"/>
        </w:rPr>
        <w:t xml:space="preserve"> to ensure the availability of high-quality healthcare infrastructure, including screening, diagnostics and treatment facilities and health services.</w:t>
      </w:r>
    </w:p>
    <w:p w:rsidRPr="002401B6" w:rsidR="00A42962" w:rsidP="00A42962" w:rsidRDefault="00A42962">
      <w:pPr>
        <w:pStyle w:val="Heading2"/>
        <w:numPr>
          <w:ilvl w:val="0"/>
          <w:numId w:val="0"/>
        </w:numPr>
        <w:rPr>
          <w:lang w:val="en-GB"/>
        </w:rPr>
      </w:pPr>
    </w:p>
    <w:p w:rsidRPr="002401B6" w:rsidR="00EE1C7F" w:rsidP="00874ACD" w:rsidRDefault="00A42962">
      <w:pPr>
        <w:pStyle w:val="Heading2"/>
        <w:rPr>
          <w:lang w:val="en-GB"/>
        </w:rPr>
      </w:pPr>
      <w:r w:rsidRPr="002401B6">
        <w:rPr>
          <w:lang w:val="en-GB"/>
        </w:rPr>
        <w:t xml:space="preserve">The EESC notes that </w:t>
      </w:r>
      <w:r w:rsidRPr="002401B6" w:rsidR="00AF63EF">
        <w:rPr>
          <w:lang w:val="en-GB"/>
        </w:rPr>
        <w:t xml:space="preserve">the </w:t>
      </w:r>
      <w:r w:rsidRPr="002401B6" w:rsidR="00874ACD">
        <w:rPr>
          <w:lang w:val="en-GB"/>
        </w:rPr>
        <w:t>Plan</w:t>
      </w:r>
      <w:r w:rsidRPr="002401B6">
        <w:rPr>
          <w:lang w:val="en-GB"/>
        </w:rPr>
        <w:t xml:space="preserve"> needs to be further adapted to facilitate the equal involvement of each and every MS and their regions to help bridg</w:t>
      </w:r>
      <w:r w:rsidRPr="002401B6" w:rsidR="009A0F95">
        <w:rPr>
          <w:lang w:val="en-GB"/>
        </w:rPr>
        <w:t>e</w:t>
      </w:r>
      <w:r w:rsidRPr="002401B6">
        <w:rPr>
          <w:lang w:val="en-GB"/>
        </w:rPr>
        <w:t xml:space="preserve"> any possible inequalities. </w:t>
      </w:r>
      <w:r w:rsidRPr="002401B6" w:rsidR="00874ACD">
        <w:rPr>
          <w:lang w:val="en-GB"/>
        </w:rPr>
        <w:t xml:space="preserve">Quite often, morbidity and mortality are correlated not only with the type of cancer, but </w:t>
      </w:r>
      <w:r w:rsidRPr="002401B6" w:rsidR="00CB69DA">
        <w:rPr>
          <w:lang w:val="en-GB"/>
        </w:rPr>
        <w:t xml:space="preserve">also </w:t>
      </w:r>
      <w:r w:rsidRPr="002401B6" w:rsidR="00874ACD">
        <w:rPr>
          <w:lang w:val="en-GB"/>
        </w:rPr>
        <w:t xml:space="preserve">with location and social gradients. </w:t>
      </w:r>
      <w:r w:rsidRPr="002401B6" w:rsidR="00EE1C7F">
        <w:rPr>
          <w:lang w:val="en-GB"/>
        </w:rPr>
        <w:t>Thus, t</w:t>
      </w:r>
      <w:r w:rsidRPr="002401B6">
        <w:rPr>
          <w:lang w:val="en-GB"/>
        </w:rPr>
        <w:t>he recommendations need to be adapted to the involvement of individual MS in the fight against cancer, including the organisational advancement of national screening and vaccination programmes</w:t>
      </w:r>
      <w:r w:rsidRPr="002401B6" w:rsidR="00EE1C7F">
        <w:rPr>
          <w:lang w:val="en-GB"/>
        </w:rPr>
        <w:t xml:space="preserve"> and support schemes</w:t>
      </w:r>
      <w:r w:rsidRPr="002401B6">
        <w:rPr>
          <w:lang w:val="en-GB"/>
        </w:rPr>
        <w:t xml:space="preserve">, and by addressing the issue of social inequalities in health. </w:t>
      </w:r>
      <w:r w:rsidRPr="002401B6" w:rsidR="00EE1C7F">
        <w:rPr>
          <w:lang w:val="en-GB"/>
        </w:rPr>
        <w:t xml:space="preserve">It is also necessary to </w:t>
      </w:r>
      <w:r w:rsidRPr="002401B6" w:rsidR="00AF63EF">
        <w:rPr>
          <w:lang w:val="en-GB"/>
        </w:rPr>
        <w:t>support</w:t>
      </w:r>
      <w:r w:rsidRPr="002401B6" w:rsidR="00EE1C7F">
        <w:rPr>
          <w:lang w:val="en-GB"/>
        </w:rPr>
        <w:t xml:space="preserve"> the person and their carers </w:t>
      </w:r>
      <w:r w:rsidRPr="002401B6" w:rsidR="00AF63EF">
        <w:rPr>
          <w:lang w:val="en-GB"/>
        </w:rPr>
        <w:t>in</w:t>
      </w:r>
      <w:r w:rsidRPr="002401B6" w:rsidR="00EE1C7F">
        <w:rPr>
          <w:lang w:val="en-GB"/>
        </w:rPr>
        <w:t xml:space="preserve"> deal</w:t>
      </w:r>
      <w:r w:rsidRPr="002401B6" w:rsidR="00AF63EF">
        <w:rPr>
          <w:lang w:val="en-GB"/>
        </w:rPr>
        <w:t>ing</w:t>
      </w:r>
      <w:r w:rsidRPr="002401B6" w:rsidR="00EE1C7F">
        <w:rPr>
          <w:lang w:val="en-GB"/>
        </w:rPr>
        <w:t xml:space="preserve"> with the consequences of cancer in terms of loss of autonomy and citizenship: access to fund</w:t>
      </w:r>
      <w:r w:rsidRPr="002401B6" w:rsidR="00AF63EF">
        <w:rPr>
          <w:lang w:val="en-GB"/>
        </w:rPr>
        <w:t>s</w:t>
      </w:r>
      <w:r w:rsidRPr="002401B6" w:rsidR="00EE1C7F">
        <w:rPr>
          <w:lang w:val="en-GB"/>
        </w:rPr>
        <w:t xml:space="preserve">, support for everyday life, etc. The same attention must be paid to combating the economic </w:t>
      </w:r>
      <w:r w:rsidRPr="002401B6" w:rsidR="006C1257">
        <w:rPr>
          <w:lang w:val="en-GB"/>
        </w:rPr>
        <w:t>fallout</w:t>
      </w:r>
      <w:r w:rsidRPr="002401B6" w:rsidR="00EE1C7F">
        <w:rPr>
          <w:lang w:val="en-GB"/>
        </w:rPr>
        <w:t xml:space="preserve"> of cancer and </w:t>
      </w:r>
      <w:r w:rsidRPr="002401B6" w:rsidR="006C1257">
        <w:rPr>
          <w:lang w:val="en-GB"/>
        </w:rPr>
        <w:t>the</w:t>
      </w:r>
      <w:r w:rsidRPr="002401B6" w:rsidR="00EE1C7F">
        <w:rPr>
          <w:lang w:val="en-GB"/>
        </w:rPr>
        <w:t xml:space="preserve"> consequences </w:t>
      </w:r>
      <w:r w:rsidRPr="002401B6" w:rsidR="006C1257">
        <w:rPr>
          <w:lang w:val="en-GB"/>
        </w:rPr>
        <w:t>of this for</w:t>
      </w:r>
      <w:r w:rsidRPr="002401B6" w:rsidR="00EE1C7F">
        <w:rPr>
          <w:lang w:val="en-GB"/>
        </w:rPr>
        <w:t xml:space="preserve"> certain already insecure </w:t>
      </w:r>
      <w:r w:rsidRPr="002401B6" w:rsidR="006C1257">
        <w:rPr>
          <w:lang w:val="en-GB"/>
        </w:rPr>
        <w:t>sections of society</w:t>
      </w:r>
      <w:r w:rsidRPr="002401B6" w:rsidR="00EE1C7F">
        <w:rPr>
          <w:lang w:val="en-GB"/>
        </w:rPr>
        <w:t>.</w:t>
      </w:r>
    </w:p>
    <w:p w:rsidRPr="002401B6" w:rsidR="00A42962" w:rsidP="00A42962" w:rsidRDefault="00A42962">
      <w:pPr>
        <w:pStyle w:val="Heading2"/>
        <w:numPr>
          <w:ilvl w:val="0"/>
          <w:numId w:val="0"/>
        </w:numPr>
        <w:rPr>
          <w:lang w:val="en-GB"/>
        </w:rPr>
      </w:pPr>
    </w:p>
    <w:p w:rsidRPr="002401B6" w:rsidR="001E7381" w:rsidP="001E7381" w:rsidRDefault="00A42962">
      <w:pPr>
        <w:pStyle w:val="Heading2"/>
        <w:rPr>
          <w:lang w:val="en-GB"/>
        </w:rPr>
      </w:pPr>
      <w:r w:rsidRPr="002401B6">
        <w:rPr>
          <w:lang w:val="en-GB"/>
        </w:rPr>
        <w:t>The cancer inequality register should be as inclusive as possible</w:t>
      </w:r>
      <w:r w:rsidRPr="002401B6" w:rsidR="009A0F95">
        <w:rPr>
          <w:lang w:val="en-GB"/>
        </w:rPr>
        <w:t>,</w:t>
      </w:r>
      <w:r w:rsidRPr="002401B6">
        <w:rPr>
          <w:lang w:val="en-GB"/>
        </w:rPr>
        <w:t xml:space="preserve"> identifying disparities between MS and between regions</w:t>
      </w:r>
      <w:r w:rsidRPr="002401B6" w:rsidR="003E1E86">
        <w:rPr>
          <w:lang w:val="en-GB"/>
        </w:rPr>
        <w:t>,</w:t>
      </w:r>
      <w:r w:rsidRPr="002401B6" w:rsidR="00F61F93">
        <w:rPr>
          <w:lang w:val="en-GB"/>
        </w:rPr>
        <w:t xml:space="preserve"> and</w:t>
      </w:r>
      <w:r w:rsidRPr="002401B6">
        <w:rPr>
          <w:lang w:val="en-GB"/>
        </w:rPr>
        <w:t xml:space="preserve"> – when possible </w:t>
      </w:r>
      <w:r w:rsidRPr="002401B6" w:rsidR="009A0F95">
        <w:rPr>
          <w:lang w:val="en-GB"/>
        </w:rPr>
        <w:t>–</w:t>
      </w:r>
      <w:r w:rsidRPr="002401B6">
        <w:rPr>
          <w:lang w:val="en-GB"/>
        </w:rPr>
        <w:t xml:space="preserve"> social inequalities, especially regarding work and gender. </w:t>
      </w:r>
      <w:r w:rsidRPr="002401B6" w:rsidR="001E7381">
        <w:rPr>
          <w:lang w:val="en-GB"/>
        </w:rPr>
        <w:t xml:space="preserve">It is also important to provide the appropriate infrastructure and competent personnel for the collection of high-quality associated data in effective cooperation between cancer registries of all MS and cooperation between </w:t>
      </w:r>
      <w:r w:rsidRPr="002401B6" w:rsidR="001D58FD">
        <w:rPr>
          <w:lang w:val="en-GB"/>
        </w:rPr>
        <w:t>countries</w:t>
      </w:r>
      <w:r w:rsidRPr="002401B6" w:rsidR="001E7381">
        <w:rPr>
          <w:lang w:val="en-GB"/>
        </w:rPr>
        <w:t>.</w:t>
      </w:r>
    </w:p>
    <w:p w:rsidRPr="002401B6" w:rsidR="001E7381" w:rsidP="00B42AB5" w:rsidRDefault="001E7381">
      <w:pPr>
        <w:rPr>
          <w:lang w:val="en-GB"/>
        </w:rPr>
      </w:pPr>
    </w:p>
    <w:p w:rsidRPr="002401B6" w:rsidR="00A42962" w:rsidP="00B42AB5" w:rsidRDefault="00A42962">
      <w:pPr>
        <w:pStyle w:val="Heading3"/>
        <w:rPr>
          <w:lang w:val="en-GB"/>
        </w:rPr>
      </w:pPr>
      <w:r w:rsidRPr="002401B6">
        <w:rPr>
          <w:lang w:val="en-GB"/>
        </w:rPr>
        <w:t xml:space="preserve">Occupational exposures amplified by other factors such as the social determinants of health, including environmental exposures, access to care, </w:t>
      </w:r>
      <w:r w:rsidRPr="002401B6" w:rsidR="00F61F93">
        <w:rPr>
          <w:lang w:val="en-GB"/>
        </w:rPr>
        <w:t xml:space="preserve">education </w:t>
      </w:r>
      <w:r w:rsidRPr="002401B6">
        <w:rPr>
          <w:lang w:val="en-GB"/>
        </w:rPr>
        <w:t>level</w:t>
      </w:r>
      <w:r w:rsidRPr="002401B6" w:rsidR="00F61F93">
        <w:rPr>
          <w:lang w:val="en-GB"/>
        </w:rPr>
        <w:t>,</w:t>
      </w:r>
      <w:r w:rsidRPr="002401B6">
        <w:rPr>
          <w:lang w:val="en-GB"/>
        </w:rPr>
        <w:t xml:space="preserve"> etc.</w:t>
      </w:r>
      <w:r w:rsidRPr="002401B6" w:rsidR="00543661">
        <w:rPr>
          <w:lang w:val="en-GB"/>
        </w:rPr>
        <w:t>,</w:t>
      </w:r>
      <w:r w:rsidRPr="002401B6" w:rsidR="001E7381">
        <w:rPr>
          <w:lang w:val="en-GB"/>
        </w:rPr>
        <w:t xml:space="preserve"> play an important role in this dynamic. The EESC stresses the need to promote and support research on finding replacements </w:t>
      </w:r>
      <w:r w:rsidRPr="002401B6" w:rsidR="00543661">
        <w:rPr>
          <w:lang w:val="en-GB"/>
        </w:rPr>
        <w:t>for</w:t>
      </w:r>
      <w:r w:rsidRPr="002401B6" w:rsidR="001E7381">
        <w:rPr>
          <w:lang w:val="en-GB"/>
        </w:rPr>
        <w:t xml:space="preserve"> dangerous substances and products.</w:t>
      </w:r>
    </w:p>
    <w:p w:rsidRPr="002401B6" w:rsidR="001E7381" w:rsidP="00B42AB5" w:rsidRDefault="001E7381">
      <w:pPr>
        <w:rPr>
          <w:lang w:val="en-GB"/>
        </w:rPr>
      </w:pPr>
    </w:p>
    <w:p w:rsidRPr="002401B6" w:rsidR="001E7381" w:rsidP="00B42AB5" w:rsidRDefault="001E7381">
      <w:pPr>
        <w:pStyle w:val="Heading3"/>
        <w:rPr>
          <w:lang w:val="en-GB"/>
        </w:rPr>
      </w:pPr>
      <w:r w:rsidRPr="002401B6">
        <w:rPr>
          <w:lang w:val="en-GB"/>
        </w:rPr>
        <w:t>The EESC underlines the importance of environmental exposures – including the quality of food products, water and air and stresses the vital role of providing relevant training, education and information to motivate and support people to choose and follow a healthy lifestyle.</w:t>
      </w:r>
    </w:p>
    <w:p w:rsidRPr="002401B6" w:rsidR="001E7381" w:rsidP="00B42AB5" w:rsidRDefault="001E7381">
      <w:pPr>
        <w:rPr>
          <w:lang w:val="en-GB"/>
        </w:rPr>
      </w:pPr>
    </w:p>
    <w:p w:rsidRPr="002401B6" w:rsidR="001E7381" w:rsidP="00B42AB5" w:rsidRDefault="001E7381">
      <w:pPr>
        <w:pStyle w:val="Heading3"/>
        <w:rPr>
          <w:lang w:val="en-GB"/>
        </w:rPr>
      </w:pPr>
      <w:r w:rsidRPr="002401B6">
        <w:rPr>
          <w:lang w:val="en-GB"/>
        </w:rPr>
        <w:t>Beating cancer requires due attention to all phases of the process: cautious and informed prevention; early and relevant detection; access to swift treatment</w:t>
      </w:r>
      <w:r w:rsidRPr="002401B6" w:rsidR="00D460E7">
        <w:rPr>
          <w:lang w:val="en-GB"/>
        </w:rPr>
        <w:t>,</w:t>
      </w:r>
      <w:r w:rsidRPr="002401B6">
        <w:rPr>
          <w:lang w:val="en-GB"/>
        </w:rPr>
        <w:t xml:space="preserve"> high-quality and accessible care</w:t>
      </w:r>
      <w:r w:rsidRPr="002401B6" w:rsidR="00D460E7">
        <w:rPr>
          <w:lang w:val="en-GB"/>
        </w:rPr>
        <w:t xml:space="preserve"> with an adequate, needs-based level of health care </w:t>
      </w:r>
      <w:r w:rsidRPr="002401B6" w:rsidR="00B72C62">
        <w:rPr>
          <w:lang w:val="en-GB"/>
        </w:rPr>
        <w:t>personnel</w:t>
      </w:r>
      <w:r w:rsidRPr="002401B6">
        <w:rPr>
          <w:lang w:val="en-GB"/>
        </w:rPr>
        <w:t>, support for reintegration in</w:t>
      </w:r>
      <w:r w:rsidRPr="002401B6" w:rsidR="001D58FD">
        <w:rPr>
          <w:lang w:val="en-GB"/>
        </w:rPr>
        <w:t>to</w:t>
      </w:r>
      <w:r w:rsidRPr="002401B6">
        <w:rPr>
          <w:lang w:val="en-GB"/>
        </w:rPr>
        <w:t xml:space="preserve"> society and at </w:t>
      </w:r>
      <w:r w:rsidRPr="002401B6" w:rsidR="00543661">
        <w:rPr>
          <w:lang w:val="en-GB"/>
        </w:rPr>
        <w:t xml:space="preserve">the </w:t>
      </w:r>
      <w:r w:rsidRPr="002401B6">
        <w:rPr>
          <w:lang w:val="en-GB"/>
        </w:rPr>
        <w:t>workplace and after</w:t>
      </w:r>
      <w:r w:rsidRPr="002401B6" w:rsidR="00543661">
        <w:rPr>
          <w:lang w:val="en-GB"/>
        </w:rPr>
        <w:t>-</w:t>
      </w:r>
      <w:r w:rsidRPr="002401B6">
        <w:rPr>
          <w:lang w:val="en-GB"/>
        </w:rPr>
        <w:t>care service.</w:t>
      </w:r>
    </w:p>
    <w:p w:rsidRPr="002401B6" w:rsidR="00A42962" w:rsidP="00A42962" w:rsidRDefault="00A42962">
      <w:pPr>
        <w:pStyle w:val="Heading2"/>
        <w:numPr>
          <w:ilvl w:val="0"/>
          <w:numId w:val="0"/>
        </w:numPr>
        <w:rPr>
          <w:lang w:val="en-GB"/>
        </w:rPr>
      </w:pPr>
    </w:p>
    <w:p w:rsidRPr="002401B6" w:rsidR="00A42962" w:rsidP="00A42962" w:rsidRDefault="00A42962">
      <w:pPr>
        <w:pStyle w:val="Heading2"/>
        <w:rPr>
          <w:lang w:val="en-GB"/>
        </w:rPr>
      </w:pPr>
      <w:r w:rsidRPr="002401B6">
        <w:rPr>
          <w:lang w:val="en-GB"/>
        </w:rPr>
        <w:t xml:space="preserve">The EESC welcomes the provision of EUR 4 billion in funding for </w:t>
      </w:r>
      <w:r w:rsidRPr="002401B6" w:rsidR="001E7381">
        <w:rPr>
          <w:lang w:val="en-GB"/>
        </w:rPr>
        <w:t>the</w:t>
      </w:r>
      <w:r w:rsidRPr="002401B6">
        <w:rPr>
          <w:lang w:val="en-GB"/>
        </w:rPr>
        <w:t xml:space="preserve"> Plan</w:t>
      </w:r>
      <w:r w:rsidRPr="002401B6" w:rsidR="001E7381">
        <w:rPr>
          <w:lang w:val="en-GB"/>
        </w:rPr>
        <w:t xml:space="preserve">, but </w:t>
      </w:r>
      <w:r w:rsidRPr="002401B6" w:rsidR="00543661">
        <w:rPr>
          <w:lang w:val="en-GB"/>
        </w:rPr>
        <w:t>requests</w:t>
      </w:r>
      <w:r w:rsidRPr="002401B6" w:rsidR="001E7381">
        <w:rPr>
          <w:lang w:val="en-GB"/>
        </w:rPr>
        <w:t xml:space="preserve"> that these</w:t>
      </w:r>
      <w:r w:rsidRPr="002401B6">
        <w:rPr>
          <w:lang w:val="en-GB"/>
        </w:rPr>
        <w:t xml:space="preserve"> resources</w:t>
      </w:r>
      <w:r w:rsidRPr="002401B6" w:rsidR="00543661">
        <w:rPr>
          <w:lang w:val="en-GB"/>
        </w:rPr>
        <w:t xml:space="preserve"> be</w:t>
      </w:r>
      <w:r w:rsidRPr="002401B6" w:rsidR="004C733D">
        <w:rPr>
          <w:lang w:val="en-GB"/>
        </w:rPr>
        <w:t xml:space="preserve"> </w:t>
      </w:r>
      <w:r w:rsidRPr="002401B6">
        <w:rPr>
          <w:lang w:val="en-GB"/>
        </w:rPr>
        <w:t xml:space="preserve">reviewed against the </w:t>
      </w:r>
      <w:r w:rsidRPr="002401B6" w:rsidR="00332CEE">
        <w:rPr>
          <w:lang w:val="en-GB"/>
        </w:rPr>
        <w:t xml:space="preserve">backdrop of the </w:t>
      </w:r>
      <w:r w:rsidRPr="002401B6">
        <w:rPr>
          <w:lang w:val="en-GB"/>
        </w:rPr>
        <w:t>national health systems, considering their organisation of public/private health financing schemes.</w:t>
      </w:r>
      <w:r w:rsidRPr="002401B6" w:rsidR="00F61F93">
        <w:rPr>
          <w:lang w:val="en-GB"/>
        </w:rPr>
        <w:t xml:space="preserve"> The EU cannot afford to remain </w:t>
      </w:r>
      <w:r w:rsidRPr="002401B6" w:rsidR="00C4279B">
        <w:rPr>
          <w:lang w:val="en-GB"/>
        </w:rPr>
        <w:t>slow to act</w:t>
      </w:r>
      <w:r w:rsidRPr="002401B6" w:rsidR="00F61F93">
        <w:rPr>
          <w:lang w:val="en-GB"/>
        </w:rPr>
        <w:t xml:space="preserve"> in the fight against cancer, which would generate human suffering and worsen the economic conditions of Europeans. The EU needs a new Marshall Plan for </w:t>
      </w:r>
      <w:r w:rsidRPr="002401B6" w:rsidR="00332CEE">
        <w:rPr>
          <w:lang w:val="en-GB"/>
        </w:rPr>
        <w:t>oncology</w:t>
      </w:r>
      <w:r w:rsidRPr="002401B6" w:rsidR="00F61F93">
        <w:rPr>
          <w:lang w:val="en-GB"/>
        </w:rPr>
        <w:t>.</w:t>
      </w:r>
    </w:p>
    <w:p w:rsidRPr="002401B6" w:rsidR="00A42962" w:rsidP="00A42962" w:rsidRDefault="00A42962">
      <w:pPr>
        <w:pStyle w:val="Heading2"/>
        <w:numPr>
          <w:ilvl w:val="0"/>
          <w:numId w:val="0"/>
        </w:numPr>
        <w:rPr>
          <w:lang w:val="en-GB"/>
        </w:rPr>
      </w:pPr>
    </w:p>
    <w:p w:rsidRPr="002401B6" w:rsidR="00011D33" w:rsidP="00F61F93" w:rsidRDefault="00A42962">
      <w:pPr>
        <w:pStyle w:val="Heading2"/>
        <w:rPr>
          <w:lang w:val="en-GB"/>
        </w:rPr>
      </w:pPr>
      <w:r w:rsidRPr="002401B6">
        <w:rPr>
          <w:lang w:val="en-GB"/>
        </w:rPr>
        <w:t>In the EESC</w:t>
      </w:r>
      <w:r w:rsidRPr="002401B6" w:rsidR="00B0563B">
        <w:rPr>
          <w:lang w:val="en-GB"/>
        </w:rPr>
        <w:t>'</w:t>
      </w:r>
      <w:r w:rsidRPr="002401B6">
        <w:rPr>
          <w:lang w:val="en-GB"/>
        </w:rPr>
        <w:t xml:space="preserve">s view, demographic and economic implications are of key importance for </w:t>
      </w:r>
      <w:r w:rsidRPr="002401B6" w:rsidR="00B053C2">
        <w:rPr>
          <w:lang w:val="en-GB"/>
        </w:rPr>
        <w:t xml:space="preserve">the </w:t>
      </w:r>
      <w:r w:rsidRPr="002401B6" w:rsidR="004C733D">
        <w:rPr>
          <w:lang w:val="en-GB"/>
        </w:rPr>
        <w:t>Plan</w:t>
      </w:r>
      <w:r w:rsidRPr="002401B6">
        <w:rPr>
          <w:lang w:val="en-GB"/>
        </w:rPr>
        <w:t>. Europe</w:t>
      </w:r>
      <w:r w:rsidRPr="002401B6" w:rsidR="002445E0">
        <w:rPr>
          <w:lang w:val="en-GB"/>
        </w:rPr>
        <w:t>'s ageing population</w:t>
      </w:r>
      <w:r w:rsidRPr="002401B6">
        <w:rPr>
          <w:lang w:val="en-GB"/>
        </w:rPr>
        <w:t xml:space="preserve"> equates to a low fertility rate, on the one hand, and an increase in people</w:t>
      </w:r>
      <w:r w:rsidRPr="002401B6" w:rsidR="00B0563B">
        <w:rPr>
          <w:lang w:val="en-GB"/>
        </w:rPr>
        <w:t>'</w:t>
      </w:r>
      <w:r w:rsidRPr="002401B6">
        <w:rPr>
          <w:lang w:val="en-GB"/>
        </w:rPr>
        <w:t>s lifespan, on the other, which in the long</w:t>
      </w:r>
      <w:r w:rsidRPr="002401B6" w:rsidR="009A0F95">
        <w:rPr>
          <w:lang w:val="en-GB"/>
        </w:rPr>
        <w:t xml:space="preserve"> </w:t>
      </w:r>
      <w:r w:rsidRPr="002401B6">
        <w:rPr>
          <w:lang w:val="en-GB"/>
        </w:rPr>
        <w:t xml:space="preserve">run will also challenge healthcare systems across </w:t>
      </w:r>
      <w:r w:rsidRPr="002401B6" w:rsidR="009A0F95">
        <w:rPr>
          <w:lang w:val="en-GB"/>
        </w:rPr>
        <w:t xml:space="preserve">the </w:t>
      </w:r>
      <w:r w:rsidRPr="002401B6">
        <w:rPr>
          <w:lang w:val="en-GB"/>
        </w:rPr>
        <w:t xml:space="preserve">EU. This is also associated with an increased risk of developing cancer with age. Decisive measures are needed to ensure conditions conducive to </w:t>
      </w:r>
      <w:r w:rsidRPr="002401B6" w:rsidR="00F61F93">
        <w:rPr>
          <w:lang w:val="en-GB"/>
        </w:rPr>
        <w:t>preserving</w:t>
      </w:r>
      <w:r w:rsidRPr="002401B6">
        <w:rPr>
          <w:lang w:val="en-GB"/>
        </w:rPr>
        <w:t xml:space="preserve"> good health in Europeans until old age. The actions outlined in </w:t>
      </w:r>
      <w:r w:rsidRPr="002401B6" w:rsidR="00B053C2">
        <w:rPr>
          <w:lang w:val="en-GB"/>
        </w:rPr>
        <w:t xml:space="preserve">the </w:t>
      </w:r>
      <w:r w:rsidRPr="002401B6" w:rsidR="004C733D">
        <w:rPr>
          <w:lang w:val="en-GB"/>
        </w:rPr>
        <w:t>Plan</w:t>
      </w:r>
      <w:r w:rsidRPr="002401B6">
        <w:rPr>
          <w:lang w:val="en-GB"/>
        </w:rPr>
        <w:t xml:space="preserve"> as a new approach to cancer prevention, treatment and care should be the pathway to achieving this goal.</w:t>
      </w:r>
      <w:r w:rsidRPr="002401B6" w:rsidR="00F61F93">
        <w:rPr>
          <w:lang w:val="en-GB"/>
        </w:rPr>
        <w:t xml:space="preserve"> The </w:t>
      </w:r>
      <w:r w:rsidRPr="002401B6" w:rsidR="004C733D">
        <w:rPr>
          <w:lang w:val="en-GB"/>
        </w:rPr>
        <w:t>P</w:t>
      </w:r>
      <w:r w:rsidRPr="002401B6" w:rsidR="00F61F93">
        <w:rPr>
          <w:lang w:val="en-GB"/>
        </w:rPr>
        <w:t xml:space="preserve">lan should be subject to an inventory/review clause every two years and include shared indicators for all EU </w:t>
      </w:r>
      <w:r w:rsidRPr="002401B6" w:rsidR="004C733D">
        <w:rPr>
          <w:lang w:val="en-GB"/>
        </w:rPr>
        <w:t>MS</w:t>
      </w:r>
      <w:r w:rsidRPr="002401B6" w:rsidR="00F61F93">
        <w:rPr>
          <w:lang w:val="en-GB"/>
        </w:rPr>
        <w:t>.</w:t>
      </w:r>
    </w:p>
    <w:p w:rsidRPr="002401B6" w:rsidR="00A42962" w:rsidP="00A42962" w:rsidRDefault="00A42962">
      <w:pPr>
        <w:rPr>
          <w:lang w:val="en-GB"/>
        </w:rPr>
      </w:pPr>
    </w:p>
    <w:p w:rsidRPr="002401B6" w:rsidR="00A42962" w:rsidP="00BB56D3" w:rsidRDefault="00F61F93">
      <w:pPr>
        <w:pStyle w:val="Heading1"/>
        <w:keepNext/>
        <w:keepLines/>
        <w:rPr>
          <w:lang w:val="en-GB"/>
        </w:rPr>
      </w:pPr>
      <w:r w:rsidRPr="002401B6">
        <w:rPr>
          <w:b/>
          <w:lang w:val="en-GB"/>
        </w:rPr>
        <w:t xml:space="preserve">High </w:t>
      </w:r>
      <w:r w:rsidRPr="002401B6" w:rsidR="00B053C2">
        <w:rPr>
          <w:b/>
          <w:lang w:val="en-GB"/>
        </w:rPr>
        <w:t>quality and equal care</w:t>
      </w:r>
    </w:p>
    <w:p w:rsidRPr="002401B6" w:rsidR="00A42962" w:rsidP="00BB56D3" w:rsidRDefault="00A42962">
      <w:pPr>
        <w:keepNext/>
        <w:keepLines/>
        <w:rPr>
          <w:lang w:val="en-GB"/>
        </w:rPr>
      </w:pPr>
    </w:p>
    <w:p w:rsidRPr="002401B6" w:rsidR="00F61F93" w:rsidP="00F61F93" w:rsidRDefault="00A42962">
      <w:pPr>
        <w:pStyle w:val="Heading2"/>
        <w:rPr>
          <w:lang w:val="en-GB"/>
        </w:rPr>
      </w:pPr>
      <w:r w:rsidRPr="002401B6">
        <w:rPr>
          <w:lang w:val="en-GB"/>
        </w:rPr>
        <w:t>As an urgent measure, it is necessary to tackle the problems caused by the pandemic.</w:t>
      </w:r>
      <w:r w:rsidRPr="002401B6" w:rsidR="00F61F93">
        <w:rPr>
          <w:lang w:val="en-GB"/>
        </w:rPr>
        <w:t xml:space="preserve"> The EESC notes that restrictions </w:t>
      </w:r>
      <w:r w:rsidRPr="002401B6" w:rsidR="00B053C2">
        <w:rPr>
          <w:lang w:val="en-GB"/>
        </w:rPr>
        <w:t>in</w:t>
      </w:r>
      <w:r w:rsidRPr="002401B6" w:rsidR="00F61F93">
        <w:rPr>
          <w:lang w:val="en-GB"/>
        </w:rPr>
        <w:t xml:space="preserve"> access to many medical services, especially in oncology and cardiology may only be avoided if the COVID-induced </w:t>
      </w:r>
      <w:r w:rsidRPr="002401B6" w:rsidR="00B053C2">
        <w:rPr>
          <w:lang w:val="en-GB"/>
        </w:rPr>
        <w:t>disruptions</w:t>
      </w:r>
      <w:r w:rsidRPr="002401B6" w:rsidR="00F61F93">
        <w:rPr>
          <w:lang w:val="en-GB"/>
        </w:rPr>
        <w:t xml:space="preserve"> are effectively addressed. Massive delays in diagnosis and treatment reduce recovery chances, thereby increasing mortality rates.</w:t>
      </w:r>
    </w:p>
    <w:p w:rsidRPr="002401B6" w:rsidR="00F61F93" w:rsidP="00674DD2" w:rsidRDefault="00F61F93">
      <w:pPr>
        <w:rPr>
          <w:lang w:val="en-GB"/>
        </w:rPr>
      </w:pPr>
    </w:p>
    <w:p w:rsidRPr="002401B6" w:rsidR="00F61F93" w:rsidP="00F61F93" w:rsidRDefault="00A42962">
      <w:pPr>
        <w:pStyle w:val="Heading2"/>
        <w:rPr>
          <w:lang w:val="en-GB"/>
        </w:rPr>
      </w:pPr>
      <w:r w:rsidRPr="002401B6">
        <w:rPr>
          <w:lang w:val="en-GB"/>
        </w:rPr>
        <w:t>It is also important to strengthen and develop the infrastructure and services to meet mid-</w:t>
      </w:r>
      <w:r w:rsidRPr="002401B6" w:rsidR="001D58FD">
        <w:rPr>
          <w:lang w:val="en-GB"/>
        </w:rPr>
        <w:t xml:space="preserve"> </w:t>
      </w:r>
      <w:r w:rsidRPr="002401B6">
        <w:rPr>
          <w:lang w:val="en-GB"/>
        </w:rPr>
        <w:t>and long-term needs. Practices need to be developed to be well prepared for responding to other potential exceptional situations effectively, including the development and EU</w:t>
      </w:r>
      <w:r w:rsidRPr="002401B6" w:rsidR="00BF138F">
        <w:rPr>
          <w:lang w:val="en-GB"/>
        </w:rPr>
        <w:t>-</w:t>
      </w:r>
      <w:r w:rsidRPr="002401B6">
        <w:rPr>
          <w:lang w:val="en-GB"/>
        </w:rPr>
        <w:t>wide roll out of telemedicine and remote measures that are applicable in any circumstances and also contribute to reducing cancer inequities between MS and within their regions.</w:t>
      </w:r>
    </w:p>
    <w:p w:rsidRPr="002401B6" w:rsidR="00F61F93" w:rsidP="00674DD2" w:rsidRDefault="00F61F93">
      <w:pPr>
        <w:rPr>
          <w:lang w:val="en-GB"/>
        </w:rPr>
      </w:pPr>
    </w:p>
    <w:p w:rsidRPr="002401B6" w:rsidR="00A42962" w:rsidP="00674DD2" w:rsidRDefault="00F61F93">
      <w:pPr>
        <w:pStyle w:val="Heading3"/>
        <w:rPr>
          <w:lang w:val="en-GB"/>
        </w:rPr>
      </w:pPr>
      <w:r w:rsidRPr="002401B6">
        <w:rPr>
          <w:lang w:val="en-GB"/>
        </w:rPr>
        <w:t xml:space="preserve">Inequalities between MS can be found both between </w:t>
      </w:r>
      <w:r w:rsidRPr="002401B6" w:rsidR="00210FF7">
        <w:rPr>
          <w:lang w:val="en-GB"/>
        </w:rPr>
        <w:t xml:space="preserve">east and west </w:t>
      </w:r>
      <w:r w:rsidRPr="002401B6">
        <w:rPr>
          <w:lang w:val="en-GB"/>
        </w:rPr>
        <w:t xml:space="preserve">– with </w:t>
      </w:r>
      <w:r w:rsidRPr="002401B6" w:rsidR="00210FF7">
        <w:rPr>
          <w:lang w:val="en-GB"/>
        </w:rPr>
        <w:t xml:space="preserve">a </w:t>
      </w:r>
      <w:r w:rsidRPr="002401B6">
        <w:rPr>
          <w:lang w:val="en-GB"/>
        </w:rPr>
        <w:t xml:space="preserve">brain drain flowing </w:t>
      </w:r>
      <w:r w:rsidRPr="002401B6" w:rsidR="00210FF7">
        <w:rPr>
          <w:lang w:val="en-GB"/>
        </w:rPr>
        <w:t>west</w:t>
      </w:r>
      <w:r w:rsidRPr="002401B6">
        <w:rPr>
          <w:lang w:val="en-GB"/>
        </w:rPr>
        <w:t>; and between small and big countries, with major differences in screening program</w:t>
      </w:r>
      <w:r w:rsidRPr="002401B6" w:rsidR="00210FF7">
        <w:rPr>
          <w:lang w:val="en-GB"/>
        </w:rPr>
        <w:t>me</w:t>
      </w:r>
      <w:r w:rsidRPr="002401B6">
        <w:rPr>
          <w:lang w:val="en-GB"/>
        </w:rPr>
        <w:t>s and investment in health systems. Research-active hospitals are ranked as the frontrunners in beating cancer.</w:t>
      </w:r>
    </w:p>
    <w:p w:rsidRPr="002401B6" w:rsidR="00F61F93" w:rsidP="00674DD2" w:rsidRDefault="00F61F93">
      <w:pPr>
        <w:rPr>
          <w:lang w:val="en-GB"/>
        </w:rPr>
      </w:pPr>
    </w:p>
    <w:p w:rsidRPr="002401B6" w:rsidR="00F61F93" w:rsidP="00674DD2" w:rsidRDefault="00210FF7">
      <w:pPr>
        <w:pStyle w:val="Heading3"/>
        <w:rPr>
          <w:lang w:val="en-GB"/>
        </w:rPr>
      </w:pPr>
      <w:r w:rsidRPr="002401B6">
        <w:rPr>
          <w:lang w:val="en-GB"/>
        </w:rPr>
        <w:t>The n</w:t>
      </w:r>
      <w:r w:rsidRPr="002401B6" w:rsidR="00FB7EF8">
        <w:rPr>
          <w:lang w:val="en-GB"/>
        </w:rPr>
        <w:t>eed for cooperation between MS can be addressed by various measures and tools, including:</w:t>
      </w:r>
    </w:p>
    <w:p w:rsidRPr="002401B6" w:rsidR="004C733D" w:rsidP="00B42AB5" w:rsidRDefault="004C733D">
      <w:pPr>
        <w:ind w:left="567"/>
        <w:rPr>
          <w:lang w:val="en-GB"/>
        </w:rPr>
      </w:pPr>
    </w:p>
    <w:p w:rsidRPr="002401B6" w:rsidR="00FB7EF8" w:rsidP="00B42AB5" w:rsidRDefault="00FB7EF8">
      <w:pPr>
        <w:pStyle w:val="ListParagraph"/>
        <w:numPr>
          <w:ilvl w:val="0"/>
          <w:numId w:val="77"/>
        </w:numPr>
        <w:tabs>
          <w:tab w:val="clear" w:pos="0"/>
        </w:tabs>
        <w:ind w:left="850"/>
        <w:rPr>
          <w:lang w:val="en-GB"/>
        </w:rPr>
      </w:pPr>
      <w:r w:rsidRPr="002401B6">
        <w:rPr>
          <w:lang w:val="en-GB"/>
        </w:rPr>
        <w:t>Data sharing and use of AI;</w:t>
      </w:r>
    </w:p>
    <w:p w:rsidRPr="002401B6" w:rsidR="00FB7EF8" w:rsidP="00B42AB5" w:rsidRDefault="00FB7EF8">
      <w:pPr>
        <w:pStyle w:val="ListParagraph"/>
        <w:numPr>
          <w:ilvl w:val="0"/>
          <w:numId w:val="77"/>
        </w:numPr>
        <w:tabs>
          <w:tab w:val="clear" w:pos="0"/>
        </w:tabs>
        <w:ind w:left="850"/>
        <w:rPr>
          <w:lang w:val="en-GB"/>
        </w:rPr>
      </w:pPr>
      <w:r w:rsidRPr="002401B6">
        <w:rPr>
          <w:lang w:val="en-GB"/>
        </w:rPr>
        <w:t>Exchange of knowledge and expertise;</w:t>
      </w:r>
    </w:p>
    <w:p w:rsidRPr="002401B6" w:rsidR="00FB7EF8" w:rsidP="00B42AB5" w:rsidRDefault="00FB7EF8">
      <w:pPr>
        <w:pStyle w:val="ListParagraph"/>
        <w:numPr>
          <w:ilvl w:val="0"/>
          <w:numId w:val="77"/>
        </w:numPr>
        <w:tabs>
          <w:tab w:val="clear" w:pos="0"/>
        </w:tabs>
        <w:ind w:left="850"/>
        <w:rPr>
          <w:lang w:val="en-GB"/>
        </w:rPr>
      </w:pPr>
      <w:r w:rsidRPr="002401B6">
        <w:rPr>
          <w:lang w:val="en-GB"/>
        </w:rPr>
        <w:t>Collaboration to tackle drug shortages;</w:t>
      </w:r>
    </w:p>
    <w:p w:rsidRPr="002401B6" w:rsidR="00FB7EF8" w:rsidP="00B42AB5" w:rsidRDefault="00FB7EF8">
      <w:pPr>
        <w:pStyle w:val="ListParagraph"/>
        <w:numPr>
          <w:ilvl w:val="0"/>
          <w:numId w:val="77"/>
        </w:numPr>
        <w:tabs>
          <w:tab w:val="clear" w:pos="0"/>
        </w:tabs>
        <w:ind w:left="850"/>
        <w:rPr>
          <w:lang w:val="en-GB"/>
        </w:rPr>
      </w:pPr>
      <w:r w:rsidRPr="002401B6">
        <w:rPr>
          <w:lang w:val="en-GB"/>
        </w:rPr>
        <w:t>Inter-speciality training program</w:t>
      </w:r>
      <w:r w:rsidRPr="002401B6" w:rsidR="00210FF7">
        <w:rPr>
          <w:lang w:val="en-GB"/>
        </w:rPr>
        <w:t>me</w:t>
      </w:r>
      <w:r w:rsidRPr="002401B6">
        <w:rPr>
          <w:lang w:val="en-GB"/>
        </w:rPr>
        <w:t>s;</w:t>
      </w:r>
    </w:p>
    <w:p w:rsidRPr="002401B6" w:rsidR="00FB7EF8" w:rsidP="00B42AB5" w:rsidRDefault="00FB7EF8">
      <w:pPr>
        <w:pStyle w:val="ListParagraph"/>
        <w:numPr>
          <w:ilvl w:val="0"/>
          <w:numId w:val="77"/>
        </w:numPr>
        <w:tabs>
          <w:tab w:val="clear" w:pos="0"/>
        </w:tabs>
        <w:ind w:left="850"/>
        <w:rPr>
          <w:lang w:val="en-GB"/>
        </w:rPr>
      </w:pPr>
      <w:r w:rsidRPr="002401B6">
        <w:rPr>
          <w:lang w:val="en-GB"/>
        </w:rPr>
        <w:t>European Reference Networks;</w:t>
      </w:r>
      <w:r w:rsidRPr="002401B6" w:rsidR="000729C9">
        <w:rPr>
          <w:lang w:val="en-GB"/>
        </w:rPr>
        <w:t xml:space="preserve"> and</w:t>
      </w:r>
    </w:p>
    <w:p w:rsidRPr="002401B6" w:rsidR="00FB7EF8" w:rsidP="00B42AB5" w:rsidRDefault="000729C9">
      <w:pPr>
        <w:pStyle w:val="ListParagraph"/>
        <w:numPr>
          <w:ilvl w:val="0"/>
          <w:numId w:val="77"/>
        </w:numPr>
        <w:tabs>
          <w:tab w:val="clear" w:pos="0"/>
        </w:tabs>
        <w:ind w:left="850"/>
        <w:rPr>
          <w:lang w:val="en-GB"/>
        </w:rPr>
      </w:pPr>
      <w:r w:rsidRPr="002401B6">
        <w:rPr>
          <w:lang w:val="en-GB"/>
        </w:rPr>
        <w:t xml:space="preserve">An </w:t>
      </w:r>
      <w:r w:rsidRPr="002401B6" w:rsidR="00FB7EF8">
        <w:rPr>
          <w:lang w:val="en-GB"/>
        </w:rPr>
        <w:t>EU Network of National Comprehensive Cancer Centres.</w:t>
      </w:r>
    </w:p>
    <w:p w:rsidRPr="002401B6" w:rsidR="00081BBD" w:rsidP="00674DD2" w:rsidRDefault="00081BBD">
      <w:pPr>
        <w:rPr>
          <w:lang w:val="en-GB"/>
        </w:rPr>
      </w:pPr>
    </w:p>
    <w:p w:rsidRPr="002401B6" w:rsidR="00FB7EF8" w:rsidP="00E05E2E" w:rsidRDefault="000729C9">
      <w:pPr>
        <w:pStyle w:val="Heading2"/>
        <w:rPr>
          <w:lang w:val="en-GB"/>
        </w:rPr>
      </w:pPr>
      <w:r w:rsidRPr="002401B6">
        <w:rPr>
          <w:lang w:val="en-GB"/>
        </w:rPr>
        <w:t xml:space="preserve">The </w:t>
      </w:r>
      <w:r w:rsidRPr="002401B6" w:rsidR="00FB7EF8">
        <w:rPr>
          <w:lang w:val="en-GB"/>
        </w:rPr>
        <w:t xml:space="preserve">EESC welcomes the </w:t>
      </w:r>
      <w:r w:rsidRPr="002401B6" w:rsidR="00081BBD">
        <w:rPr>
          <w:lang w:val="en-GB"/>
        </w:rPr>
        <w:t>"</w:t>
      </w:r>
      <w:r w:rsidRPr="002401B6" w:rsidR="00FB7EF8">
        <w:rPr>
          <w:lang w:val="en-GB"/>
        </w:rPr>
        <w:t>helping children with cancer initiative</w:t>
      </w:r>
      <w:r w:rsidRPr="002401B6" w:rsidR="00081BBD">
        <w:rPr>
          <w:lang w:val="en-GB"/>
        </w:rPr>
        <w:t>"</w:t>
      </w:r>
      <w:r w:rsidRPr="002401B6" w:rsidR="004C733D">
        <w:rPr>
          <w:lang w:val="en-GB"/>
        </w:rPr>
        <w:t>, but is concerned about the lack of specific measures to tackle the situation and calls for more specific and truly swift and concrete actions with dedicated funding to cure more children and adolescents with cancer</w:t>
      </w:r>
      <w:r w:rsidRPr="002401B6" w:rsidR="002B22FD">
        <w:rPr>
          <w:lang w:val="en-GB"/>
        </w:rPr>
        <w:t xml:space="preserve"> </w:t>
      </w:r>
      <w:r w:rsidRPr="002401B6" w:rsidR="00CB69DA">
        <w:rPr>
          <w:lang w:val="en-GB"/>
        </w:rPr>
        <w:t xml:space="preserve">and to do so </w:t>
      </w:r>
      <w:r w:rsidRPr="002401B6" w:rsidR="002B22FD">
        <w:rPr>
          <w:lang w:val="en-GB"/>
        </w:rPr>
        <w:t>more effectively</w:t>
      </w:r>
      <w:r w:rsidRPr="002401B6" w:rsidR="004C733D">
        <w:rPr>
          <w:lang w:val="en-GB"/>
        </w:rPr>
        <w:t xml:space="preserve">. </w:t>
      </w:r>
      <w:r w:rsidRPr="002401B6" w:rsidR="001D59A7">
        <w:rPr>
          <w:lang w:val="en-GB"/>
        </w:rPr>
        <w:t>Given</w:t>
      </w:r>
      <w:r w:rsidRPr="002401B6" w:rsidR="004C733D">
        <w:rPr>
          <w:lang w:val="en-GB"/>
        </w:rPr>
        <w:t xml:space="preserve"> the </w:t>
      </w:r>
      <w:r w:rsidRPr="002401B6" w:rsidR="00FB7EF8">
        <w:rPr>
          <w:lang w:val="en-GB"/>
        </w:rPr>
        <w:t xml:space="preserve">urgent need to give children access to innovation, reduce </w:t>
      </w:r>
      <w:r w:rsidRPr="002401B6" w:rsidR="00D342F0">
        <w:rPr>
          <w:lang w:val="en-GB"/>
        </w:rPr>
        <w:t>inequalities</w:t>
      </w:r>
      <w:r w:rsidRPr="002401B6" w:rsidR="00FB7EF8">
        <w:rPr>
          <w:lang w:val="en-GB"/>
        </w:rPr>
        <w:t xml:space="preserve"> in treatments and understand </w:t>
      </w:r>
      <w:r w:rsidRPr="002401B6">
        <w:rPr>
          <w:lang w:val="en-GB"/>
        </w:rPr>
        <w:t xml:space="preserve">the origin of </w:t>
      </w:r>
      <w:r w:rsidRPr="002401B6" w:rsidR="004C733D">
        <w:rPr>
          <w:lang w:val="en-GB"/>
        </w:rPr>
        <w:t>child</w:t>
      </w:r>
      <w:r w:rsidRPr="002401B6" w:rsidR="00FB7EF8">
        <w:rPr>
          <w:lang w:val="en-GB"/>
        </w:rPr>
        <w:t xml:space="preserve"> cancer</w:t>
      </w:r>
      <w:r w:rsidRPr="002401B6">
        <w:rPr>
          <w:lang w:val="en-GB"/>
        </w:rPr>
        <w:t>s</w:t>
      </w:r>
      <w:r w:rsidRPr="002401B6" w:rsidR="00FB7EF8">
        <w:rPr>
          <w:lang w:val="en-GB"/>
        </w:rPr>
        <w:t xml:space="preserve"> </w:t>
      </w:r>
      <w:r w:rsidRPr="002401B6" w:rsidR="00093647">
        <w:rPr>
          <w:lang w:val="en-GB"/>
        </w:rPr>
        <w:t>–</w:t>
      </w:r>
      <w:r w:rsidRPr="002401B6" w:rsidR="001D58FD">
        <w:rPr>
          <w:lang w:val="en-GB"/>
        </w:rPr>
        <w:t xml:space="preserve"> </w:t>
      </w:r>
      <w:r w:rsidRPr="002401B6" w:rsidR="00FB7EF8">
        <w:rPr>
          <w:lang w:val="en-GB"/>
        </w:rPr>
        <w:t xml:space="preserve">since, </w:t>
      </w:r>
      <w:r w:rsidRPr="002401B6">
        <w:rPr>
          <w:lang w:val="en-GB"/>
        </w:rPr>
        <w:t>unlike with</w:t>
      </w:r>
      <w:r w:rsidRPr="002401B6" w:rsidR="00FB7EF8">
        <w:rPr>
          <w:lang w:val="en-GB"/>
        </w:rPr>
        <w:t xml:space="preserve"> adults</w:t>
      </w:r>
      <w:r w:rsidRPr="002401B6">
        <w:rPr>
          <w:lang w:val="en-GB"/>
        </w:rPr>
        <w:t>'</w:t>
      </w:r>
      <w:r w:rsidRPr="002401B6" w:rsidR="00FB7EF8">
        <w:rPr>
          <w:lang w:val="en-GB"/>
        </w:rPr>
        <w:t xml:space="preserve"> cancers, we cannot prevent </w:t>
      </w:r>
      <w:r w:rsidRPr="002401B6" w:rsidR="00D342F0">
        <w:rPr>
          <w:lang w:val="en-GB"/>
        </w:rPr>
        <w:t>paediatric</w:t>
      </w:r>
      <w:r w:rsidRPr="002401B6" w:rsidR="00FB7EF8">
        <w:rPr>
          <w:lang w:val="en-GB"/>
        </w:rPr>
        <w:t xml:space="preserve"> cancers</w:t>
      </w:r>
      <w:r w:rsidRPr="002401B6" w:rsidR="001D58FD">
        <w:rPr>
          <w:lang w:val="en-GB"/>
        </w:rPr>
        <w:t xml:space="preserve"> </w:t>
      </w:r>
      <w:r w:rsidRPr="002401B6" w:rsidR="00093647">
        <w:rPr>
          <w:lang w:val="en-GB"/>
        </w:rPr>
        <w:t>–</w:t>
      </w:r>
      <w:r w:rsidRPr="002401B6" w:rsidR="004C733D">
        <w:rPr>
          <w:lang w:val="en-GB"/>
        </w:rPr>
        <w:t xml:space="preserve"> the</w:t>
      </w:r>
      <w:r w:rsidRPr="002401B6">
        <w:rPr>
          <w:lang w:val="en-GB"/>
        </w:rPr>
        <w:t xml:space="preserve"> </w:t>
      </w:r>
      <w:r w:rsidRPr="002401B6" w:rsidR="00FB7EF8">
        <w:rPr>
          <w:lang w:val="en-GB"/>
        </w:rPr>
        <w:t xml:space="preserve">EESC </w:t>
      </w:r>
      <w:r w:rsidRPr="002401B6" w:rsidR="004C733D">
        <w:rPr>
          <w:lang w:val="en-GB"/>
        </w:rPr>
        <w:t xml:space="preserve">calls </w:t>
      </w:r>
      <w:r w:rsidRPr="002401B6" w:rsidR="002B22FD">
        <w:rPr>
          <w:lang w:val="en-GB"/>
        </w:rPr>
        <w:t xml:space="preserve">for </w:t>
      </w:r>
      <w:r w:rsidRPr="002401B6" w:rsidR="004C733D">
        <w:rPr>
          <w:lang w:val="en-GB"/>
        </w:rPr>
        <w:t xml:space="preserve">the Plan </w:t>
      </w:r>
      <w:r w:rsidRPr="002401B6" w:rsidR="002B22FD">
        <w:rPr>
          <w:lang w:val="en-GB"/>
        </w:rPr>
        <w:t xml:space="preserve">to be used </w:t>
      </w:r>
      <w:r w:rsidRPr="002401B6" w:rsidR="004C733D">
        <w:rPr>
          <w:lang w:val="en-GB"/>
        </w:rPr>
        <w:t>as an</w:t>
      </w:r>
      <w:r w:rsidRPr="002401B6" w:rsidR="00FB7EF8">
        <w:rPr>
          <w:lang w:val="en-GB"/>
        </w:rPr>
        <w:t xml:space="preserve"> opportunity to end the unfair situation of forgotten children and to finally give them the consideration they deserve, as they represent </w:t>
      </w:r>
      <w:r w:rsidRPr="002401B6">
        <w:rPr>
          <w:lang w:val="en-GB"/>
        </w:rPr>
        <w:t>Europe's</w:t>
      </w:r>
      <w:r w:rsidRPr="002401B6" w:rsidR="00FB7EF8">
        <w:rPr>
          <w:lang w:val="en-GB"/>
        </w:rPr>
        <w:t xml:space="preserve"> future.</w:t>
      </w:r>
    </w:p>
    <w:p w:rsidRPr="002401B6" w:rsidR="00A42962" w:rsidP="00A42962" w:rsidRDefault="00A42962">
      <w:pPr>
        <w:rPr>
          <w:lang w:val="en-GB"/>
        </w:rPr>
      </w:pPr>
    </w:p>
    <w:p w:rsidRPr="002401B6" w:rsidR="00A42962" w:rsidP="00A42962" w:rsidRDefault="00A42962">
      <w:pPr>
        <w:pStyle w:val="Heading2"/>
        <w:rPr>
          <w:lang w:val="en-GB"/>
        </w:rPr>
      </w:pPr>
      <w:r w:rsidRPr="002401B6">
        <w:rPr>
          <w:lang w:val="en-GB"/>
        </w:rPr>
        <w:t xml:space="preserve">The EESC is concerned </w:t>
      </w:r>
      <w:r w:rsidRPr="002401B6" w:rsidR="00BF138F">
        <w:rPr>
          <w:lang w:val="en-GB"/>
        </w:rPr>
        <w:t xml:space="preserve">about </w:t>
      </w:r>
      <w:r w:rsidRPr="002401B6">
        <w:rPr>
          <w:lang w:val="en-GB"/>
        </w:rPr>
        <w:t xml:space="preserve">the significant regional differences in cooperation models and information flows, including </w:t>
      </w:r>
      <w:r w:rsidRPr="002401B6" w:rsidR="00BF138F">
        <w:rPr>
          <w:lang w:val="en-GB"/>
        </w:rPr>
        <w:t xml:space="preserve">the </w:t>
      </w:r>
      <w:r w:rsidRPr="002401B6">
        <w:rPr>
          <w:lang w:val="en-GB"/>
        </w:rPr>
        <w:t xml:space="preserve">digital divide, </w:t>
      </w:r>
      <w:r w:rsidRPr="002401B6" w:rsidR="00FB7EF8">
        <w:rPr>
          <w:lang w:val="en-GB"/>
        </w:rPr>
        <w:t>negatively affecting</w:t>
      </w:r>
      <w:r w:rsidRPr="002401B6">
        <w:rPr>
          <w:lang w:val="en-GB"/>
        </w:rPr>
        <w:t xml:space="preserve"> the elderly, people residing outside major cities, persons with disabilities and financially disadvantaged group</w:t>
      </w:r>
      <w:r w:rsidRPr="002401B6" w:rsidR="00BF138F">
        <w:rPr>
          <w:lang w:val="en-GB"/>
        </w:rPr>
        <w:t>s</w:t>
      </w:r>
      <w:r w:rsidRPr="002401B6">
        <w:rPr>
          <w:lang w:val="en-GB"/>
        </w:rPr>
        <w:t>. This is why the roadmap must ensure standardisation in this area.</w:t>
      </w:r>
    </w:p>
    <w:p w:rsidRPr="002401B6" w:rsidR="00A42962" w:rsidP="00A42962" w:rsidRDefault="00A42962">
      <w:pPr>
        <w:rPr>
          <w:lang w:val="en-GB"/>
        </w:rPr>
      </w:pPr>
    </w:p>
    <w:p w:rsidRPr="002401B6" w:rsidR="00A42962" w:rsidP="00A42962" w:rsidRDefault="00A42962">
      <w:pPr>
        <w:pStyle w:val="Heading2"/>
        <w:rPr>
          <w:lang w:val="en-GB"/>
        </w:rPr>
      </w:pPr>
      <w:r w:rsidRPr="002401B6">
        <w:rPr>
          <w:lang w:val="en-GB"/>
        </w:rPr>
        <w:t>The EESC also calls for a more grassroot</w:t>
      </w:r>
      <w:r w:rsidRPr="002401B6" w:rsidR="00BF138F">
        <w:rPr>
          <w:lang w:val="en-GB"/>
        </w:rPr>
        <w:t>s</w:t>
      </w:r>
      <w:r w:rsidRPr="002401B6">
        <w:rPr>
          <w:lang w:val="en-GB"/>
        </w:rPr>
        <w:t xml:space="preserve"> </w:t>
      </w:r>
      <w:r w:rsidRPr="002401B6" w:rsidR="004C733D">
        <w:rPr>
          <w:lang w:val="en-GB"/>
        </w:rPr>
        <w:t>Plan</w:t>
      </w:r>
      <w:r w:rsidRPr="002401B6" w:rsidR="00BF138F">
        <w:rPr>
          <w:lang w:val="en-GB"/>
        </w:rPr>
        <w:t xml:space="preserve"> that is</w:t>
      </w:r>
      <w:r w:rsidRPr="002401B6">
        <w:rPr>
          <w:lang w:val="en-GB"/>
        </w:rPr>
        <w:t xml:space="preserve"> </w:t>
      </w:r>
      <w:r w:rsidRPr="002401B6" w:rsidR="00BF138F">
        <w:rPr>
          <w:lang w:val="en-GB"/>
        </w:rPr>
        <w:t xml:space="preserve">flexible </w:t>
      </w:r>
      <w:r w:rsidRPr="002401B6">
        <w:rPr>
          <w:lang w:val="en-GB"/>
        </w:rPr>
        <w:t xml:space="preserve">enough to </w:t>
      </w:r>
      <w:r w:rsidRPr="002401B6" w:rsidR="00BF138F">
        <w:rPr>
          <w:lang w:val="en-GB"/>
        </w:rPr>
        <w:t xml:space="preserve">respond </w:t>
      </w:r>
      <w:r w:rsidRPr="002401B6">
        <w:rPr>
          <w:lang w:val="en-GB"/>
        </w:rPr>
        <w:t>to particular needs and adapt to different circumstances and the situation of cancer patients and survivors.</w:t>
      </w:r>
    </w:p>
    <w:p w:rsidRPr="002401B6" w:rsidR="00A42962" w:rsidP="00A42962" w:rsidRDefault="00A42962">
      <w:pPr>
        <w:rPr>
          <w:lang w:val="en-GB"/>
        </w:rPr>
      </w:pPr>
    </w:p>
    <w:p w:rsidRPr="002401B6" w:rsidR="00A42962" w:rsidP="00A42962" w:rsidRDefault="00A42962">
      <w:pPr>
        <w:pStyle w:val="Heading2"/>
        <w:rPr>
          <w:lang w:val="en-GB"/>
        </w:rPr>
      </w:pPr>
      <w:r w:rsidRPr="002401B6">
        <w:rPr>
          <w:lang w:val="en-GB"/>
        </w:rPr>
        <w:t>The EESC welcomes the aim of preventing cancers caused by viral infections by introducing population-based vaccination</w:t>
      </w:r>
      <w:r w:rsidRPr="002401B6" w:rsidR="00BF138F">
        <w:rPr>
          <w:lang w:val="en-GB"/>
        </w:rPr>
        <w:t>,</w:t>
      </w:r>
      <w:r w:rsidRPr="002401B6">
        <w:rPr>
          <w:lang w:val="en-GB"/>
        </w:rPr>
        <w:t xml:space="preserve"> but notes that vaccination rates and the level of progress of vaccination programmes vary between regions</w:t>
      </w:r>
      <w:r w:rsidRPr="002401B6" w:rsidR="00FB7EF8">
        <w:rPr>
          <w:lang w:val="en-GB"/>
        </w:rPr>
        <w:t>. All regions should replicate</w:t>
      </w:r>
      <w:r w:rsidRPr="002401B6">
        <w:rPr>
          <w:lang w:val="en-GB"/>
        </w:rPr>
        <w:t xml:space="preserve"> best practices</w:t>
      </w:r>
      <w:r w:rsidRPr="002401B6" w:rsidR="00FB7EF8">
        <w:rPr>
          <w:lang w:val="en-GB"/>
        </w:rPr>
        <w:t xml:space="preserve"> to make sure that each citizen </w:t>
      </w:r>
      <w:r w:rsidRPr="002401B6" w:rsidR="000729C9">
        <w:rPr>
          <w:lang w:val="en-GB"/>
        </w:rPr>
        <w:t xml:space="preserve">has </w:t>
      </w:r>
      <w:r w:rsidRPr="002401B6" w:rsidR="00FB7EF8">
        <w:rPr>
          <w:lang w:val="en-GB"/>
        </w:rPr>
        <w:t xml:space="preserve">access to </w:t>
      </w:r>
      <w:r w:rsidRPr="002401B6" w:rsidR="000729C9">
        <w:rPr>
          <w:lang w:val="en-GB"/>
        </w:rPr>
        <w:t>these</w:t>
      </w:r>
      <w:r w:rsidRPr="002401B6" w:rsidR="00FB7EF8">
        <w:rPr>
          <w:lang w:val="en-GB"/>
        </w:rPr>
        <w:t xml:space="preserve"> type</w:t>
      </w:r>
      <w:r w:rsidRPr="002401B6" w:rsidR="000729C9">
        <w:rPr>
          <w:lang w:val="en-GB"/>
        </w:rPr>
        <w:t>s</w:t>
      </w:r>
      <w:r w:rsidRPr="002401B6" w:rsidR="00FB7EF8">
        <w:rPr>
          <w:lang w:val="en-GB"/>
        </w:rPr>
        <w:t xml:space="preserve"> of vaccines</w:t>
      </w:r>
      <w:r w:rsidRPr="002401B6">
        <w:rPr>
          <w:lang w:val="en-GB"/>
        </w:rPr>
        <w:t>.</w:t>
      </w:r>
    </w:p>
    <w:p w:rsidRPr="002401B6" w:rsidR="00A42962" w:rsidP="00A42962" w:rsidRDefault="00A42962">
      <w:pPr>
        <w:rPr>
          <w:lang w:val="en-GB"/>
        </w:rPr>
      </w:pPr>
    </w:p>
    <w:p w:rsidRPr="002401B6" w:rsidR="00FB7EF8" w:rsidP="00FB7EF8" w:rsidRDefault="00A42962">
      <w:pPr>
        <w:pStyle w:val="Heading2"/>
        <w:tabs>
          <w:tab w:val="left" w:pos="567"/>
        </w:tabs>
        <w:rPr>
          <w:lang w:val="en-GB"/>
        </w:rPr>
      </w:pPr>
      <w:r w:rsidRPr="002401B6">
        <w:rPr>
          <w:lang w:val="en-GB"/>
        </w:rPr>
        <w:t>The EESC endorses the plans to improve the early detection of cancer by means of screening projects and educational activities, including those utilising new technologies, aimed at raising patients</w:t>
      </w:r>
      <w:r w:rsidRPr="002401B6" w:rsidR="00B0563B">
        <w:rPr>
          <w:lang w:val="en-GB"/>
        </w:rPr>
        <w:t>'</w:t>
      </w:r>
      <w:r w:rsidRPr="002401B6">
        <w:rPr>
          <w:lang w:val="en-GB"/>
        </w:rPr>
        <w:t xml:space="preserve"> awareness of the need for preventive screening, </w:t>
      </w:r>
      <w:r w:rsidRPr="002401B6" w:rsidR="00BF138F">
        <w:rPr>
          <w:lang w:val="en-GB"/>
        </w:rPr>
        <w:t xml:space="preserve">and </w:t>
      </w:r>
      <w:r w:rsidRPr="002401B6">
        <w:rPr>
          <w:lang w:val="en-GB"/>
        </w:rPr>
        <w:t xml:space="preserve">integrating data on occupational exposures into early detection programmes. </w:t>
      </w:r>
      <w:r w:rsidRPr="002401B6" w:rsidR="00FB7EF8">
        <w:rPr>
          <w:lang w:val="en-GB"/>
        </w:rPr>
        <w:t xml:space="preserve">Better knowledge </w:t>
      </w:r>
      <w:r w:rsidRPr="002401B6" w:rsidR="000729C9">
        <w:rPr>
          <w:lang w:val="en-GB"/>
        </w:rPr>
        <w:t>of</w:t>
      </w:r>
      <w:r w:rsidRPr="002401B6" w:rsidR="00FB7EF8">
        <w:rPr>
          <w:lang w:val="en-GB"/>
        </w:rPr>
        <w:t xml:space="preserve"> hereditary cancers is also needed in targeting the screening.</w:t>
      </w:r>
    </w:p>
    <w:p w:rsidRPr="002401B6" w:rsidR="003F26ED" w:rsidP="00674DD2" w:rsidRDefault="003F26ED">
      <w:pPr>
        <w:rPr>
          <w:lang w:val="en-GB"/>
        </w:rPr>
      </w:pPr>
    </w:p>
    <w:p w:rsidRPr="002401B6" w:rsidR="00A42962" w:rsidP="00A42962" w:rsidRDefault="00A42962">
      <w:pPr>
        <w:pStyle w:val="Heading2"/>
        <w:rPr>
          <w:lang w:val="en-GB"/>
        </w:rPr>
      </w:pPr>
      <w:r w:rsidRPr="002401B6">
        <w:rPr>
          <w:lang w:val="en-GB"/>
        </w:rPr>
        <w:t xml:space="preserve">Prevention is more effective if it is not based on simple individual behaviour only and if it reduces or eliminates </w:t>
      </w:r>
      <w:r w:rsidRPr="002401B6" w:rsidR="00EE5D6D">
        <w:rPr>
          <w:lang w:val="en-GB"/>
        </w:rPr>
        <w:t xml:space="preserve">harm and </w:t>
      </w:r>
      <w:r w:rsidRPr="002401B6">
        <w:rPr>
          <w:lang w:val="en-GB"/>
        </w:rPr>
        <w:t xml:space="preserve">collective factors contributing to cancer. Social determinants are underestimated in section 3 of the </w:t>
      </w:r>
      <w:r w:rsidRPr="002401B6" w:rsidR="004C733D">
        <w:rPr>
          <w:lang w:val="en-GB"/>
        </w:rPr>
        <w:t>Plan</w:t>
      </w:r>
      <w:r w:rsidRPr="002401B6">
        <w:rPr>
          <w:lang w:val="en-GB"/>
        </w:rPr>
        <w:t>.</w:t>
      </w:r>
    </w:p>
    <w:p w:rsidRPr="002401B6" w:rsidR="00A42962" w:rsidP="00A42962" w:rsidRDefault="00A42962">
      <w:pPr>
        <w:rPr>
          <w:lang w:val="en-GB"/>
        </w:rPr>
      </w:pPr>
    </w:p>
    <w:p w:rsidRPr="002401B6" w:rsidR="00A42962" w:rsidP="00A42962" w:rsidRDefault="00A42962">
      <w:pPr>
        <w:pStyle w:val="Heading2"/>
        <w:rPr>
          <w:lang w:val="en-GB"/>
        </w:rPr>
      </w:pPr>
      <w:r w:rsidRPr="002401B6">
        <w:rPr>
          <w:lang w:val="en-GB"/>
        </w:rPr>
        <w:t>The Committee notes that early diagnosis initiatives should target all types of cancer, including blood cancers, and that screening tests should be available to the largest possible populations.</w:t>
      </w:r>
    </w:p>
    <w:p w:rsidRPr="002401B6" w:rsidR="00A42962" w:rsidP="00A42962" w:rsidRDefault="00A42962">
      <w:pPr>
        <w:rPr>
          <w:lang w:val="en-GB"/>
        </w:rPr>
      </w:pPr>
    </w:p>
    <w:p w:rsidRPr="002401B6" w:rsidR="00065640" w:rsidP="00065640" w:rsidRDefault="00065640">
      <w:pPr>
        <w:pStyle w:val="Heading2"/>
        <w:rPr>
          <w:lang w:val="en-GB"/>
        </w:rPr>
      </w:pPr>
      <w:r w:rsidRPr="002401B6">
        <w:rPr>
          <w:lang w:val="en-GB"/>
        </w:rPr>
        <w:t>The EESC calls for improved possibilities for cancer patients to benefit from high-quality treatment</w:t>
      </w:r>
      <w:r w:rsidRPr="002401B6" w:rsidR="008556D0">
        <w:rPr>
          <w:lang w:val="en-GB"/>
        </w:rPr>
        <w:t>,</w:t>
      </w:r>
      <w:r w:rsidRPr="002401B6">
        <w:rPr>
          <w:lang w:val="en-GB"/>
        </w:rPr>
        <w:t xml:space="preserve"> care and expertise provided by other MS</w:t>
      </w:r>
      <w:r w:rsidRPr="002401B6" w:rsidR="00B72C62">
        <w:rPr>
          <w:lang w:val="en-GB"/>
        </w:rPr>
        <w:t>, as well as from the availability of medicines, medical equipment and other medical products provided by a well-functioning single market</w:t>
      </w:r>
      <w:r w:rsidRPr="002401B6">
        <w:rPr>
          <w:lang w:val="en-GB"/>
        </w:rPr>
        <w:t>.</w:t>
      </w:r>
    </w:p>
    <w:p w:rsidRPr="002401B6" w:rsidR="00065640" w:rsidP="00674DD2" w:rsidRDefault="00065640">
      <w:pPr>
        <w:rPr>
          <w:lang w:val="en-GB"/>
        </w:rPr>
      </w:pPr>
    </w:p>
    <w:p w:rsidRPr="002401B6" w:rsidR="00065640" w:rsidP="00065640" w:rsidRDefault="00065640">
      <w:pPr>
        <w:pStyle w:val="Heading2"/>
        <w:rPr>
          <w:lang w:val="en-GB"/>
        </w:rPr>
      </w:pPr>
      <w:r w:rsidRPr="002401B6">
        <w:rPr>
          <w:lang w:val="en-GB"/>
        </w:rPr>
        <w:t>The EESC also stresses the importance of support systems</w:t>
      </w:r>
      <w:r w:rsidRPr="002401B6" w:rsidR="008556D0">
        <w:rPr>
          <w:lang w:val="en-GB"/>
        </w:rPr>
        <w:t xml:space="preserve"> –</w:t>
      </w:r>
      <w:r w:rsidRPr="002401B6">
        <w:rPr>
          <w:lang w:val="en-GB"/>
        </w:rPr>
        <w:t xml:space="preserve"> including providing the necessary information and knowledge</w:t>
      </w:r>
      <w:r w:rsidRPr="002401B6" w:rsidR="008556D0">
        <w:rPr>
          <w:lang w:val="en-GB"/>
        </w:rPr>
        <w:t xml:space="preserve"> –</w:t>
      </w:r>
      <w:r w:rsidRPr="002401B6">
        <w:rPr>
          <w:lang w:val="en-GB"/>
        </w:rPr>
        <w:t xml:space="preserve"> for patients</w:t>
      </w:r>
      <w:r w:rsidRPr="002401B6" w:rsidR="008556D0">
        <w:rPr>
          <w:lang w:val="en-GB"/>
        </w:rPr>
        <w:t>'</w:t>
      </w:r>
      <w:r w:rsidRPr="002401B6">
        <w:rPr>
          <w:lang w:val="en-GB"/>
        </w:rPr>
        <w:t xml:space="preserve"> physical and mental well</w:t>
      </w:r>
      <w:r w:rsidRPr="002401B6" w:rsidR="008556D0">
        <w:rPr>
          <w:lang w:val="en-GB"/>
        </w:rPr>
        <w:t>-</w:t>
      </w:r>
      <w:r w:rsidRPr="002401B6">
        <w:rPr>
          <w:lang w:val="en-GB"/>
        </w:rPr>
        <w:t xml:space="preserve">being during and </w:t>
      </w:r>
      <w:r w:rsidRPr="002401B6" w:rsidR="008556D0">
        <w:rPr>
          <w:lang w:val="en-GB"/>
        </w:rPr>
        <w:t>after</w:t>
      </w:r>
      <w:r w:rsidRPr="002401B6">
        <w:rPr>
          <w:lang w:val="en-GB"/>
        </w:rPr>
        <w:t xml:space="preserve"> treatment. The same concerns are relevant for employees, employers and entrepreneurs. Furthermore, the EESC emphasi</w:t>
      </w:r>
      <w:r w:rsidRPr="002401B6" w:rsidR="008556D0">
        <w:rPr>
          <w:lang w:val="en-GB"/>
        </w:rPr>
        <w:t>s</w:t>
      </w:r>
      <w:r w:rsidRPr="002401B6">
        <w:rPr>
          <w:lang w:val="en-GB"/>
        </w:rPr>
        <w:t>es the welfare of carers for cancer patients. The</w:t>
      </w:r>
      <w:r w:rsidRPr="002401B6" w:rsidR="008556D0">
        <w:rPr>
          <w:lang w:val="en-GB"/>
        </w:rPr>
        <w:t>ir</w:t>
      </w:r>
      <w:r w:rsidRPr="002401B6">
        <w:rPr>
          <w:lang w:val="en-GB"/>
        </w:rPr>
        <w:t xml:space="preserve"> informal careers as carers can seriously impact work/life balance and affect their physical well-being. The EESC therefore joins the EC in urging the MS to fully transpose the Directive on work-life balance for parents and carers and support the forthcoming Strategy on the Rights of Persons with Disabilities 2021-2030.</w:t>
      </w:r>
    </w:p>
    <w:p w:rsidRPr="002401B6" w:rsidR="00A42962" w:rsidP="00674DD2" w:rsidRDefault="00A42962">
      <w:pPr>
        <w:pStyle w:val="Heading2"/>
        <w:numPr>
          <w:ilvl w:val="0"/>
          <w:numId w:val="0"/>
        </w:numPr>
        <w:rPr>
          <w:lang w:val="en-GB"/>
        </w:rPr>
      </w:pPr>
    </w:p>
    <w:p w:rsidRPr="002401B6" w:rsidR="00A42962" w:rsidP="00A42962" w:rsidRDefault="00A42962">
      <w:pPr>
        <w:pStyle w:val="Heading2"/>
        <w:rPr>
          <w:lang w:val="en-GB"/>
        </w:rPr>
      </w:pPr>
      <w:r w:rsidRPr="002401B6">
        <w:rPr>
          <w:lang w:val="en-GB"/>
        </w:rPr>
        <w:t xml:space="preserve">The </w:t>
      </w:r>
      <w:r w:rsidRPr="002401B6" w:rsidR="004C733D">
        <w:rPr>
          <w:lang w:val="en-GB"/>
        </w:rPr>
        <w:t>EESC</w:t>
      </w:r>
      <w:r w:rsidRPr="002401B6">
        <w:rPr>
          <w:lang w:val="en-GB"/>
        </w:rPr>
        <w:t xml:space="preserve"> draws attention to cultural diversity and the varying degrees of respect for the fundamental rights of EU citizens, including in </w:t>
      </w:r>
      <w:r w:rsidRPr="002401B6" w:rsidR="00065640">
        <w:rPr>
          <w:lang w:val="en-GB"/>
        </w:rPr>
        <w:t>relation to</w:t>
      </w:r>
      <w:r w:rsidRPr="002401B6">
        <w:rPr>
          <w:lang w:val="en-GB"/>
        </w:rPr>
        <w:t xml:space="preserve"> non-discrimination in employment, social protection or access to financial services such as credit. </w:t>
      </w:r>
      <w:r w:rsidRPr="002401B6" w:rsidR="00065640">
        <w:rPr>
          <w:lang w:val="en-GB"/>
        </w:rPr>
        <w:t>Thus, it</w:t>
      </w:r>
      <w:r w:rsidRPr="002401B6">
        <w:rPr>
          <w:lang w:val="en-GB"/>
        </w:rPr>
        <w:t xml:space="preserve"> is necessary to eliminate disparities between MS</w:t>
      </w:r>
      <w:r w:rsidRPr="002401B6" w:rsidR="00065640">
        <w:rPr>
          <w:lang w:val="en-GB"/>
        </w:rPr>
        <w:t xml:space="preserve"> and follow the principle of the "right to be forgotten" with respect to an individual's cancer history</w:t>
      </w:r>
      <w:r w:rsidRPr="002401B6" w:rsidR="0096470F">
        <w:rPr>
          <w:lang w:val="en-GB"/>
        </w:rPr>
        <w:t xml:space="preserve"> as well as patients</w:t>
      </w:r>
      <w:r w:rsidRPr="002401B6" w:rsidR="008556D0">
        <w:rPr>
          <w:lang w:val="en-GB"/>
        </w:rPr>
        <w:t>'</w:t>
      </w:r>
      <w:r w:rsidRPr="002401B6" w:rsidR="0096470F">
        <w:rPr>
          <w:lang w:val="en-GB"/>
        </w:rPr>
        <w:t xml:space="preserve"> carer representatives</w:t>
      </w:r>
      <w:r w:rsidRPr="002401B6">
        <w:rPr>
          <w:lang w:val="en-GB"/>
        </w:rPr>
        <w:t>.</w:t>
      </w:r>
    </w:p>
    <w:p w:rsidRPr="002401B6" w:rsidR="00A42962" w:rsidP="00674DD2" w:rsidRDefault="00A42962">
      <w:pPr>
        <w:pStyle w:val="Heading2"/>
        <w:numPr>
          <w:ilvl w:val="0"/>
          <w:numId w:val="0"/>
        </w:numPr>
        <w:rPr>
          <w:lang w:val="en-GB"/>
        </w:rPr>
      </w:pPr>
    </w:p>
    <w:p w:rsidRPr="002401B6" w:rsidR="00A42962" w:rsidP="00BB56D3" w:rsidRDefault="0096470F">
      <w:pPr>
        <w:pStyle w:val="Heading1"/>
        <w:keepNext/>
        <w:keepLines/>
        <w:rPr>
          <w:lang w:val="en-GB"/>
        </w:rPr>
      </w:pPr>
      <w:r w:rsidRPr="002401B6">
        <w:rPr>
          <w:b/>
          <w:lang w:val="en-GB"/>
        </w:rPr>
        <w:t>Need for new solutions to beat cancer</w:t>
      </w:r>
    </w:p>
    <w:p w:rsidRPr="002401B6" w:rsidR="0096470F" w:rsidP="00BB56D3" w:rsidRDefault="0096470F">
      <w:pPr>
        <w:keepNext/>
        <w:keepLines/>
        <w:rPr>
          <w:lang w:val="en-GB"/>
        </w:rPr>
      </w:pPr>
    </w:p>
    <w:p w:rsidRPr="002401B6" w:rsidR="0096470F" w:rsidP="00674DD2" w:rsidRDefault="00081BBD">
      <w:pPr>
        <w:pStyle w:val="Heading2"/>
        <w:rPr>
          <w:lang w:val="en-GB"/>
        </w:rPr>
      </w:pPr>
      <w:r w:rsidRPr="002401B6">
        <w:rPr>
          <w:lang w:val="en-GB"/>
        </w:rPr>
        <w:t xml:space="preserve">Given the enormous advances in technology and science, including medical science, the EESC welcomes the promise of a modern approach to combating cancer by means of new technologies, research and </w:t>
      </w:r>
      <w:r w:rsidRPr="002401B6" w:rsidR="00EE5D6D">
        <w:rPr>
          <w:lang w:val="en-GB"/>
        </w:rPr>
        <w:t xml:space="preserve">product </w:t>
      </w:r>
      <w:r w:rsidRPr="002401B6">
        <w:rPr>
          <w:lang w:val="en-GB"/>
        </w:rPr>
        <w:t>innovation. It is also to be applauded that the EC focuses on insights from comorbidities, and social and behavioural sciences in its flagship</w:t>
      </w:r>
      <w:r w:rsidRPr="002401B6" w:rsidR="00810704">
        <w:rPr>
          <w:lang w:val="en-GB"/>
        </w:rPr>
        <w:t>s</w:t>
      </w:r>
      <w:r w:rsidRPr="002401B6">
        <w:rPr>
          <w:lang w:val="en-GB"/>
        </w:rPr>
        <w:t xml:space="preserve"> and actions.</w:t>
      </w:r>
    </w:p>
    <w:p w:rsidRPr="002401B6" w:rsidR="00A42962" w:rsidP="00A42962" w:rsidRDefault="00A42962">
      <w:pPr>
        <w:rPr>
          <w:lang w:val="en-GB"/>
        </w:rPr>
      </w:pPr>
    </w:p>
    <w:p w:rsidRPr="002401B6" w:rsidR="00081BBD" w:rsidP="00674DD2" w:rsidRDefault="00081BBD">
      <w:pPr>
        <w:pStyle w:val="Heading2"/>
        <w:rPr>
          <w:lang w:val="en-GB"/>
        </w:rPr>
      </w:pPr>
      <w:r w:rsidRPr="002401B6">
        <w:rPr>
          <w:lang w:val="en-GB"/>
        </w:rPr>
        <w:t xml:space="preserve">The Plan rightly emphasises the role of research and innovation as a cornerstone for better understanding of cancer risk factors and improving diagnoses, therapies, treatments, and prevention policies. </w:t>
      </w:r>
      <w:r w:rsidRPr="002401B6" w:rsidR="00EE5D6D">
        <w:rPr>
          <w:lang w:val="en-GB"/>
        </w:rPr>
        <w:t xml:space="preserve">International and </w:t>
      </w:r>
      <w:r w:rsidRPr="002401B6">
        <w:rPr>
          <w:lang w:val="en-GB"/>
        </w:rPr>
        <w:t>EU-wide cooperation is crucial here</w:t>
      </w:r>
      <w:r w:rsidRPr="002401B6" w:rsidR="00345BF4">
        <w:rPr>
          <w:lang w:val="en-GB"/>
        </w:rPr>
        <w:t xml:space="preserve"> to share best practices</w:t>
      </w:r>
      <w:r w:rsidRPr="002401B6">
        <w:rPr>
          <w:lang w:val="en-GB"/>
        </w:rPr>
        <w:t xml:space="preserve">, </w:t>
      </w:r>
      <w:r w:rsidRPr="002401B6" w:rsidR="00EE5D6D">
        <w:rPr>
          <w:lang w:val="en-GB"/>
        </w:rPr>
        <w:t xml:space="preserve">including on regulatory approaches, </w:t>
      </w:r>
      <w:r w:rsidRPr="002401B6">
        <w:rPr>
          <w:lang w:val="en-GB"/>
        </w:rPr>
        <w:t xml:space="preserve">combining professionals' expertise, data and technology, </w:t>
      </w:r>
      <w:r w:rsidRPr="002401B6" w:rsidR="00345BF4">
        <w:rPr>
          <w:lang w:val="en-GB"/>
        </w:rPr>
        <w:t>and</w:t>
      </w:r>
      <w:r w:rsidRPr="002401B6">
        <w:rPr>
          <w:lang w:val="en-GB"/>
        </w:rPr>
        <w:t xml:space="preserve"> financial resources as productively as possible.</w:t>
      </w:r>
    </w:p>
    <w:p w:rsidRPr="002401B6" w:rsidR="00345BF4" w:rsidRDefault="00345BF4">
      <w:pPr>
        <w:rPr>
          <w:lang w:val="en-GB"/>
        </w:rPr>
      </w:pPr>
    </w:p>
    <w:p w:rsidRPr="002401B6" w:rsidR="00345BF4" w:rsidP="00674DD2" w:rsidRDefault="00345BF4">
      <w:pPr>
        <w:pStyle w:val="Heading2"/>
        <w:rPr>
          <w:lang w:val="en-GB"/>
        </w:rPr>
      </w:pPr>
      <w:r w:rsidRPr="002401B6">
        <w:rPr>
          <w:lang w:val="en-GB"/>
        </w:rPr>
        <w:t xml:space="preserve">Major efforts should be focused on the generation, availability, and accessibility of data to develop more advanced genomic tracing, prevention, diagnosis and treatment methods, including developing the European Health Data Space. The digitalisation of health data and safe and secure sharing thereof in the entire care path are vital for enabling patients to receive adequate care and treatment, including cross-border healthcare. Simultaneously, red tape in healthcare </w:t>
      </w:r>
      <w:r w:rsidRPr="002401B6" w:rsidR="00810704">
        <w:rPr>
          <w:lang w:val="en-GB"/>
        </w:rPr>
        <w:t xml:space="preserve">needs to be reduced </w:t>
      </w:r>
      <w:r w:rsidRPr="002401B6">
        <w:rPr>
          <w:lang w:val="en-GB"/>
        </w:rPr>
        <w:t xml:space="preserve">and health record practices </w:t>
      </w:r>
      <w:r w:rsidRPr="002401B6" w:rsidR="00810704">
        <w:rPr>
          <w:lang w:val="en-GB"/>
        </w:rPr>
        <w:t>made as</w:t>
      </w:r>
      <w:r w:rsidRPr="002401B6">
        <w:rPr>
          <w:lang w:val="en-GB"/>
        </w:rPr>
        <w:t xml:space="preserve"> efficient</w:t>
      </w:r>
      <w:r w:rsidRPr="002401B6" w:rsidR="00810704">
        <w:rPr>
          <w:lang w:val="en-GB"/>
        </w:rPr>
        <w:t xml:space="preserve"> as possible</w:t>
      </w:r>
      <w:r w:rsidRPr="002401B6">
        <w:rPr>
          <w:lang w:val="en-GB"/>
        </w:rPr>
        <w:t>. The possibility of linking digital health data with the genomic data of biobanks must also be facilitated</w:t>
      </w:r>
      <w:r w:rsidRPr="002401B6" w:rsidR="004C733D">
        <w:rPr>
          <w:lang w:val="en-GB"/>
        </w:rPr>
        <w:t xml:space="preserve"> as</w:t>
      </w:r>
      <w:r w:rsidRPr="002401B6">
        <w:rPr>
          <w:lang w:val="en-GB"/>
        </w:rPr>
        <w:t xml:space="preserve"> </w:t>
      </w:r>
      <w:r w:rsidRPr="002401B6" w:rsidR="004C733D">
        <w:rPr>
          <w:lang w:val="en-GB"/>
        </w:rPr>
        <w:t xml:space="preserve">an </w:t>
      </w:r>
      <w:r w:rsidRPr="002401B6">
        <w:rPr>
          <w:lang w:val="en-GB"/>
        </w:rPr>
        <w:t xml:space="preserve">important enabler of the development of cancer prevention, diagnosis and patient-centred care. </w:t>
      </w:r>
      <w:r w:rsidRPr="002401B6" w:rsidR="004C733D">
        <w:rPr>
          <w:lang w:val="en-GB"/>
        </w:rPr>
        <w:t>T</w:t>
      </w:r>
      <w:r w:rsidRPr="002401B6">
        <w:rPr>
          <w:lang w:val="en-GB"/>
        </w:rPr>
        <w:t xml:space="preserve">he development and use of data analytics methods, including AI, </w:t>
      </w:r>
      <w:r w:rsidRPr="002401B6" w:rsidR="002B22FD">
        <w:rPr>
          <w:lang w:val="en-GB"/>
        </w:rPr>
        <w:t xml:space="preserve">also </w:t>
      </w:r>
      <w:r w:rsidRPr="002401B6">
        <w:rPr>
          <w:lang w:val="en-GB"/>
        </w:rPr>
        <w:t>need to be enhanced through strengthened EU cooperation.</w:t>
      </w:r>
    </w:p>
    <w:p w:rsidRPr="002401B6" w:rsidR="001A05B8" w:rsidRDefault="001A05B8">
      <w:pPr>
        <w:rPr>
          <w:lang w:val="en-GB"/>
        </w:rPr>
      </w:pPr>
    </w:p>
    <w:p w:rsidRPr="002401B6" w:rsidR="00205A0D" w:rsidP="00205A0D" w:rsidRDefault="001A05B8">
      <w:pPr>
        <w:pStyle w:val="Heading2"/>
        <w:rPr>
          <w:lang w:val="en-GB"/>
        </w:rPr>
      </w:pPr>
      <w:r w:rsidRPr="002401B6">
        <w:rPr>
          <w:lang w:val="en-GB"/>
        </w:rPr>
        <w:t>The question of multiple exposures is one of the most important challenges in developing prevention of both environmental and occupational cancers. The EU should strengthen support for existing research in this area.</w:t>
      </w:r>
      <w:r w:rsidRPr="002401B6" w:rsidR="00205A0D">
        <w:rPr>
          <w:lang w:val="en-GB"/>
        </w:rPr>
        <w:t xml:space="preserve"> Equally important is the provision of relevant information – about what can cause cancer, about helping people </w:t>
      </w:r>
      <w:r w:rsidRPr="002401B6" w:rsidR="002C4D10">
        <w:rPr>
          <w:lang w:val="en-GB"/>
        </w:rPr>
        <w:t xml:space="preserve">to </w:t>
      </w:r>
      <w:r w:rsidRPr="002401B6" w:rsidR="00205A0D">
        <w:rPr>
          <w:lang w:val="en-GB"/>
        </w:rPr>
        <w:t>recognis</w:t>
      </w:r>
      <w:r w:rsidRPr="002401B6" w:rsidR="002C4D10">
        <w:rPr>
          <w:lang w:val="en-GB"/>
        </w:rPr>
        <w:t>e</w:t>
      </w:r>
      <w:r w:rsidRPr="002401B6" w:rsidR="00205A0D">
        <w:rPr>
          <w:lang w:val="en-GB"/>
        </w:rPr>
        <w:t xml:space="preserve"> early symptoms, managing cancer-related stress, promoting prevention and inspiring healthy lifestyle</w:t>
      </w:r>
      <w:r w:rsidRPr="002401B6" w:rsidR="00BE3BEA">
        <w:rPr>
          <w:lang w:val="en-GB"/>
        </w:rPr>
        <w:t>s</w:t>
      </w:r>
      <w:r w:rsidRPr="002401B6" w:rsidR="00205A0D">
        <w:rPr>
          <w:lang w:val="en-GB"/>
        </w:rPr>
        <w:t xml:space="preserve">. The SP and CSO have an indispensable role to play and their efforts shall be </w:t>
      </w:r>
      <w:r w:rsidRPr="002401B6" w:rsidR="003E5C89">
        <w:rPr>
          <w:lang w:val="en-GB"/>
        </w:rPr>
        <w:t>supported, including</w:t>
      </w:r>
      <w:r w:rsidRPr="002401B6" w:rsidR="00205A0D">
        <w:rPr>
          <w:lang w:val="en-GB"/>
        </w:rPr>
        <w:t xml:space="preserve"> by devoting relevant funds under ESF+ for joint actions in combating cancer and </w:t>
      </w:r>
      <w:r w:rsidRPr="002401B6" w:rsidR="00BE3BEA">
        <w:rPr>
          <w:lang w:val="en-GB"/>
        </w:rPr>
        <w:t xml:space="preserve">for </w:t>
      </w:r>
      <w:r w:rsidRPr="002401B6" w:rsidR="001D59A7">
        <w:rPr>
          <w:lang w:val="en-GB"/>
        </w:rPr>
        <w:t>disseminati</w:t>
      </w:r>
      <w:r w:rsidRPr="002401B6" w:rsidR="00BE3BEA">
        <w:rPr>
          <w:lang w:val="en-GB"/>
        </w:rPr>
        <w:t>on</w:t>
      </w:r>
      <w:r w:rsidRPr="002401B6" w:rsidR="001D59A7">
        <w:rPr>
          <w:lang w:val="en-GB"/>
        </w:rPr>
        <w:t xml:space="preserve"> </w:t>
      </w:r>
      <w:r w:rsidRPr="002401B6" w:rsidR="00BE3BEA">
        <w:rPr>
          <w:lang w:val="en-GB"/>
        </w:rPr>
        <w:t xml:space="preserve">of </w:t>
      </w:r>
      <w:r w:rsidRPr="002401B6" w:rsidR="00205A0D">
        <w:rPr>
          <w:lang w:val="en-GB"/>
        </w:rPr>
        <w:t xml:space="preserve">best practices on </w:t>
      </w:r>
      <w:r w:rsidRPr="002401B6" w:rsidR="0043441C">
        <w:rPr>
          <w:lang w:val="en-GB"/>
        </w:rPr>
        <w:t>health prevention</w:t>
      </w:r>
      <w:r w:rsidRPr="002401B6" w:rsidR="00205A0D">
        <w:rPr>
          <w:lang w:val="en-GB"/>
        </w:rPr>
        <w:t>.</w:t>
      </w:r>
    </w:p>
    <w:p w:rsidRPr="002401B6" w:rsidR="00444FEE" w:rsidP="00674DD2" w:rsidRDefault="00444FEE">
      <w:pPr>
        <w:rPr>
          <w:lang w:val="en-GB"/>
        </w:rPr>
      </w:pPr>
    </w:p>
    <w:p w:rsidRPr="002401B6" w:rsidR="00345BF4" w:rsidP="00674DD2" w:rsidRDefault="001A05B8">
      <w:pPr>
        <w:pStyle w:val="Heading2"/>
        <w:rPr>
          <w:lang w:val="en-GB"/>
        </w:rPr>
      </w:pPr>
      <w:r w:rsidRPr="002401B6">
        <w:rPr>
          <w:lang w:val="en-GB"/>
        </w:rPr>
        <w:t xml:space="preserve">There is a need to coordinate a systematic collection of data on occupational exposure to carcinogens and </w:t>
      </w:r>
      <w:r w:rsidRPr="002401B6" w:rsidR="00D342F0">
        <w:rPr>
          <w:lang w:val="en-GB"/>
        </w:rPr>
        <w:t>mutagens</w:t>
      </w:r>
      <w:r w:rsidRPr="002401B6">
        <w:rPr>
          <w:lang w:val="en-GB"/>
        </w:rPr>
        <w:t xml:space="preserve"> at European level</w:t>
      </w:r>
      <w:r w:rsidRPr="002401B6" w:rsidR="00205A0D">
        <w:rPr>
          <w:lang w:val="en-GB"/>
        </w:rPr>
        <w:t xml:space="preserve"> and</w:t>
      </w:r>
      <w:r w:rsidRPr="002401B6">
        <w:rPr>
          <w:lang w:val="en-GB"/>
        </w:rPr>
        <w:t xml:space="preserve"> to link existing data from cancer registries with data on the occupations of cancer patients. Such data would</w:t>
      </w:r>
      <w:r w:rsidRPr="002401B6" w:rsidR="00D342F0">
        <w:rPr>
          <w:lang w:val="en-GB"/>
        </w:rPr>
        <w:t xml:space="preserve"> </w:t>
      </w:r>
      <w:r w:rsidRPr="002401B6">
        <w:rPr>
          <w:lang w:val="en-GB"/>
        </w:rPr>
        <w:t>enable preventive action to be better targeted and stimulate the early detection of cancers among those exposed. New and innovative research projects in Europe should be extended to cover all MS.</w:t>
      </w:r>
    </w:p>
    <w:p w:rsidRPr="002401B6" w:rsidR="001A05B8" w:rsidRDefault="001A05B8">
      <w:pPr>
        <w:rPr>
          <w:lang w:val="en-GB"/>
        </w:rPr>
      </w:pPr>
    </w:p>
    <w:p w:rsidRPr="002401B6" w:rsidR="001A05B8" w:rsidP="00674DD2" w:rsidRDefault="00055856">
      <w:pPr>
        <w:pStyle w:val="Heading2"/>
        <w:rPr>
          <w:lang w:val="en-GB"/>
        </w:rPr>
      </w:pPr>
      <w:r w:rsidRPr="002401B6">
        <w:rPr>
          <w:lang w:val="en-GB"/>
        </w:rPr>
        <w:t>Exposure to endocrine disruptors is associated with a number of hormone-dependent cancers. Basic research on these substances must serve as a basis for improving European policies in this field and for better prevention.</w:t>
      </w:r>
    </w:p>
    <w:p w:rsidRPr="002401B6" w:rsidR="003155B1" w:rsidP="003155B1" w:rsidRDefault="003155B1">
      <w:pPr>
        <w:rPr>
          <w:lang w:val="en-GB"/>
        </w:rPr>
      </w:pPr>
    </w:p>
    <w:p w:rsidRPr="002401B6" w:rsidR="003155B1" w:rsidP="003155B1" w:rsidRDefault="003155B1">
      <w:pPr>
        <w:pStyle w:val="Heading2"/>
        <w:rPr>
          <w:lang w:val="en-GB"/>
        </w:rPr>
      </w:pPr>
      <w:r w:rsidRPr="002401B6">
        <w:rPr>
          <w:lang w:val="en-GB"/>
        </w:rPr>
        <w:t>Successful</w:t>
      </w:r>
      <w:r w:rsidRPr="002401B6" w:rsidR="00810704">
        <w:rPr>
          <w:lang w:val="en-GB"/>
        </w:rPr>
        <w:t>ly</w:t>
      </w:r>
      <w:r w:rsidRPr="002401B6">
        <w:rPr>
          <w:lang w:val="en-GB"/>
        </w:rPr>
        <w:t xml:space="preserve"> beating cancer also </w:t>
      </w:r>
      <w:r w:rsidRPr="002401B6" w:rsidR="00810704">
        <w:rPr>
          <w:lang w:val="en-GB"/>
        </w:rPr>
        <w:t>requires</w:t>
      </w:r>
      <w:r w:rsidRPr="002401B6">
        <w:rPr>
          <w:lang w:val="en-GB"/>
        </w:rPr>
        <w:t xml:space="preserve"> high-quality education in cancer-related disciplines, including solid cooperation between the MS and </w:t>
      </w:r>
      <w:r w:rsidRPr="002401B6" w:rsidR="00810704">
        <w:rPr>
          <w:lang w:val="en-GB"/>
        </w:rPr>
        <w:t xml:space="preserve">the </w:t>
      </w:r>
      <w:r w:rsidRPr="002401B6">
        <w:rPr>
          <w:lang w:val="en-GB"/>
        </w:rPr>
        <w:t xml:space="preserve">social partners in education and skills promotion programmes supported by the EU, such as the Inter-specialty cancer training programme and the EC's Pact for Skills. The Plan should mention the need for continuous professional development, information and awareness-raising in the health workforce, also regarding </w:t>
      </w:r>
      <w:r w:rsidRPr="002401B6" w:rsidR="00054A80">
        <w:rPr>
          <w:lang w:val="en-GB"/>
        </w:rPr>
        <w:t>the</w:t>
      </w:r>
      <w:r w:rsidRPr="002401B6">
        <w:rPr>
          <w:lang w:val="en-GB"/>
        </w:rPr>
        <w:t xml:space="preserve"> management and administration of </w:t>
      </w:r>
      <w:r w:rsidRPr="002401B6" w:rsidR="00054A80">
        <w:rPr>
          <w:lang w:val="en-GB"/>
        </w:rPr>
        <w:t xml:space="preserve">hazardous medicinal products </w:t>
      </w:r>
      <w:r w:rsidRPr="002401B6">
        <w:rPr>
          <w:lang w:val="en-GB"/>
        </w:rPr>
        <w:t>(HMPs).</w:t>
      </w:r>
      <w:r w:rsidRPr="002401B6" w:rsidR="00054A80">
        <w:rPr>
          <w:lang w:val="en-GB"/>
        </w:rPr>
        <w:t xml:space="preserve"> </w:t>
      </w:r>
      <w:r w:rsidRPr="002401B6">
        <w:rPr>
          <w:lang w:val="en-GB"/>
        </w:rPr>
        <w:t>Moreover, highly educated and skilled professionals</w:t>
      </w:r>
      <w:r w:rsidRPr="002401B6" w:rsidR="00D342F0">
        <w:rPr>
          <w:lang w:val="en-GB"/>
        </w:rPr>
        <w:t xml:space="preserve"> </w:t>
      </w:r>
      <w:r w:rsidRPr="002401B6">
        <w:rPr>
          <w:lang w:val="en-GB"/>
        </w:rPr>
        <w:t xml:space="preserve">are needed to deliver the various services, be it in the initial diagnosis and setting up </w:t>
      </w:r>
      <w:r w:rsidRPr="002401B6" w:rsidR="00054A80">
        <w:rPr>
          <w:lang w:val="en-GB"/>
        </w:rPr>
        <w:t xml:space="preserve">of </w:t>
      </w:r>
      <w:r w:rsidRPr="002401B6">
        <w:rPr>
          <w:lang w:val="en-GB"/>
        </w:rPr>
        <w:t xml:space="preserve">a treatment plan, </w:t>
      </w:r>
      <w:r w:rsidRPr="002401B6" w:rsidR="00054A80">
        <w:rPr>
          <w:lang w:val="en-GB"/>
        </w:rPr>
        <w:t xml:space="preserve">or in </w:t>
      </w:r>
      <w:r w:rsidRPr="002401B6">
        <w:rPr>
          <w:lang w:val="en-GB"/>
        </w:rPr>
        <w:t xml:space="preserve">administering medications, surgery </w:t>
      </w:r>
      <w:r w:rsidRPr="002401B6" w:rsidR="00054A80">
        <w:rPr>
          <w:lang w:val="en-GB"/>
        </w:rPr>
        <w:t>and</w:t>
      </w:r>
      <w:r w:rsidRPr="002401B6">
        <w:rPr>
          <w:lang w:val="en-GB"/>
        </w:rPr>
        <w:t xml:space="preserve"> radiology, while close collaboration between cancer researchers, healthcare professionals and patients is another foundation for successful care. </w:t>
      </w:r>
      <w:r w:rsidRPr="002401B6" w:rsidR="00D342F0">
        <w:rPr>
          <w:lang w:val="en-GB"/>
        </w:rPr>
        <w:t>Additionally</w:t>
      </w:r>
      <w:r w:rsidRPr="002401B6">
        <w:rPr>
          <w:lang w:val="en-GB"/>
        </w:rPr>
        <w:t>, intensive cooperation with partners outside the EU is also crucial to facilitate knowledge</w:t>
      </w:r>
      <w:r w:rsidRPr="002401B6" w:rsidR="00054A80">
        <w:rPr>
          <w:lang w:val="en-GB"/>
        </w:rPr>
        <w:t>-</w:t>
      </w:r>
      <w:r w:rsidRPr="002401B6">
        <w:rPr>
          <w:lang w:val="en-GB"/>
        </w:rPr>
        <w:t>sharing.</w:t>
      </w:r>
    </w:p>
    <w:p w:rsidRPr="002401B6" w:rsidR="003155B1" w:rsidP="003155B1" w:rsidRDefault="003155B1">
      <w:pPr>
        <w:rPr>
          <w:lang w:val="en-GB"/>
        </w:rPr>
      </w:pPr>
    </w:p>
    <w:p w:rsidRPr="002401B6" w:rsidR="00205A0D" w:rsidP="00674DD2" w:rsidRDefault="003155B1">
      <w:pPr>
        <w:pStyle w:val="Heading2"/>
        <w:rPr>
          <w:lang w:val="en-GB"/>
        </w:rPr>
      </w:pPr>
      <w:r w:rsidRPr="002401B6">
        <w:rPr>
          <w:lang w:val="en-GB"/>
        </w:rPr>
        <w:t xml:space="preserve">Enterprises play a central role in developing solutions for the prevention, screening, diagnostics, and treatment of cancer. The advancement and facilitation of innovation ecosystems are of utmost importance for the success of the EU. The ecosystems need to involve enterprises of different sizes (from big international companies to start-ups) and researchers, patients, health professionals, and authorities. This work has to be supported by EU and national funding, particularly through partnerships under Horizon Europe. It is also essential to determine the role of </w:t>
      </w:r>
      <w:r w:rsidRPr="002401B6" w:rsidR="00054A80">
        <w:rPr>
          <w:lang w:val="en-GB"/>
        </w:rPr>
        <w:t xml:space="preserve">the </w:t>
      </w:r>
      <w:r w:rsidRPr="002401B6">
        <w:rPr>
          <w:lang w:val="en-GB"/>
        </w:rPr>
        <w:t xml:space="preserve">EMA in encouraging and supporting MS in </w:t>
      </w:r>
      <w:r w:rsidRPr="002401B6" w:rsidR="00054A80">
        <w:rPr>
          <w:lang w:val="en-GB"/>
        </w:rPr>
        <w:t>the</w:t>
      </w:r>
      <w:r w:rsidRPr="002401B6">
        <w:rPr>
          <w:lang w:val="en-GB"/>
        </w:rPr>
        <w:t xml:space="preserve"> introduction of innovative</w:t>
      </w:r>
      <w:r w:rsidRPr="002401B6" w:rsidR="00205A0D">
        <w:rPr>
          <w:lang w:val="en-GB"/>
        </w:rPr>
        <w:t xml:space="preserve">, safe and </w:t>
      </w:r>
      <w:r w:rsidRPr="002401B6" w:rsidR="002C4D10">
        <w:rPr>
          <w:lang w:val="en-GB"/>
        </w:rPr>
        <w:t>effective</w:t>
      </w:r>
      <w:r w:rsidRPr="002401B6">
        <w:rPr>
          <w:lang w:val="en-GB"/>
        </w:rPr>
        <w:t xml:space="preserve"> cancer therapies.</w:t>
      </w:r>
    </w:p>
    <w:p w:rsidRPr="002401B6" w:rsidR="00205A0D" w:rsidP="00B42AB5" w:rsidRDefault="00205A0D">
      <w:pPr>
        <w:pStyle w:val="Heading2"/>
        <w:numPr>
          <w:ilvl w:val="0"/>
          <w:numId w:val="0"/>
        </w:numPr>
        <w:rPr>
          <w:lang w:val="en-GB"/>
        </w:rPr>
      </w:pPr>
    </w:p>
    <w:p w:rsidRPr="002401B6" w:rsidR="003155B1" w:rsidP="00E05E2E" w:rsidRDefault="002C4D10">
      <w:pPr>
        <w:pStyle w:val="Heading2"/>
        <w:rPr>
          <w:lang w:val="en-GB"/>
        </w:rPr>
      </w:pPr>
      <w:r w:rsidRPr="002401B6">
        <w:rPr>
          <w:lang w:val="en-GB"/>
        </w:rPr>
        <w:t xml:space="preserve">The </w:t>
      </w:r>
      <w:r w:rsidRPr="002401B6" w:rsidR="00205A0D">
        <w:rPr>
          <w:lang w:val="en-GB"/>
        </w:rPr>
        <w:t xml:space="preserve">EMA has </w:t>
      </w:r>
      <w:r w:rsidRPr="002401B6">
        <w:rPr>
          <w:lang w:val="en-GB"/>
        </w:rPr>
        <w:t xml:space="preserve">an </w:t>
      </w:r>
      <w:r w:rsidRPr="002401B6" w:rsidR="00205A0D">
        <w:rPr>
          <w:lang w:val="en-GB"/>
        </w:rPr>
        <w:t>important role to play in marketing</w:t>
      </w:r>
      <w:r w:rsidRPr="002401B6">
        <w:rPr>
          <w:lang w:val="en-GB"/>
        </w:rPr>
        <w:t>,</w:t>
      </w:r>
      <w:r w:rsidRPr="002401B6" w:rsidR="00205A0D">
        <w:rPr>
          <w:lang w:val="en-GB"/>
        </w:rPr>
        <w:t xml:space="preserve"> and making accessible in a safe way</w:t>
      </w:r>
      <w:r w:rsidRPr="002401B6">
        <w:rPr>
          <w:lang w:val="en-GB"/>
        </w:rPr>
        <w:t>,</w:t>
      </w:r>
      <w:r w:rsidRPr="002401B6" w:rsidR="00205A0D">
        <w:rPr>
          <w:lang w:val="en-GB"/>
        </w:rPr>
        <w:t xml:space="preserve"> advanced products and relevant equipment to help prevent and efficiently cure cancer. It also can enhance MS</w:t>
      </w:r>
      <w:r w:rsidRPr="002401B6" w:rsidR="003E5C89">
        <w:rPr>
          <w:lang w:val="en-GB"/>
        </w:rPr>
        <w:t>' access</w:t>
      </w:r>
      <w:r w:rsidRPr="002401B6" w:rsidR="00205A0D">
        <w:rPr>
          <w:lang w:val="en-GB"/>
        </w:rPr>
        <w:t xml:space="preserve"> to such products and coordinate their effective roll-out across </w:t>
      </w:r>
      <w:r w:rsidRPr="002401B6">
        <w:rPr>
          <w:lang w:val="en-GB"/>
        </w:rPr>
        <w:t xml:space="preserve">the </w:t>
      </w:r>
      <w:r w:rsidRPr="002401B6" w:rsidR="00205A0D">
        <w:rPr>
          <w:lang w:val="en-GB"/>
        </w:rPr>
        <w:t xml:space="preserve">EU. This will result in </w:t>
      </w:r>
      <w:r w:rsidRPr="002401B6" w:rsidR="00BE40A3">
        <w:rPr>
          <w:lang w:val="en-GB"/>
        </w:rPr>
        <w:t xml:space="preserve">quicker </w:t>
      </w:r>
      <w:r w:rsidRPr="002401B6" w:rsidR="00205A0D">
        <w:rPr>
          <w:lang w:val="en-GB"/>
        </w:rPr>
        <w:t xml:space="preserve">access </w:t>
      </w:r>
      <w:r w:rsidRPr="002401B6" w:rsidR="00BE40A3">
        <w:rPr>
          <w:lang w:val="en-GB"/>
        </w:rPr>
        <w:t>for</w:t>
      </w:r>
      <w:r w:rsidRPr="002401B6" w:rsidR="00205A0D">
        <w:rPr>
          <w:lang w:val="en-GB"/>
        </w:rPr>
        <w:t xml:space="preserve"> all patients to high-quality modern treatment.</w:t>
      </w:r>
    </w:p>
    <w:p w:rsidRPr="002401B6" w:rsidR="003155B1" w:rsidRDefault="003155B1">
      <w:pPr>
        <w:rPr>
          <w:lang w:val="en-GB"/>
        </w:rPr>
      </w:pPr>
    </w:p>
    <w:p w:rsidRPr="002401B6" w:rsidR="003155B1" w:rsidP="00674DD2" w:rsidRDefault="003155B1">
      <w:pPr>
        <w:pStyle w:val="Heading2"/>
        <w:rPr>
          <w:lang w:val="en-GB"/>
        </w:rPr>
      </w:pPr>
      <w:r w:rsidRPr="002401B6">
        <w:rPr>
          <w:lang w:val="en-GB"/>
        </w:rPr>
        <w:t xml:space="preserve">Besides developing and providing medicines, vaccines, technology and care services, enterprises strive to beat cancer by reducing their environmental impacts, developing and producing safe products, </w:t>
      </w:r>
      <w:r w:rsidRPr="002401B6" w:rsidR="00EE5D6D">
        <w:rPr>
          <w:lang w:val="en-GB"/>
        </w:rPr>
        <w:t xml:space="preserve">or modified, less-harmful products </w:t>
      </w:r>
      <w:r w:rsidRPr="002401B6">
        <w:rPr>
          <w:lang w:val="en-GB"/>
        </w:rPr>
        <w:t>and improving health and safety in workplaces.</w:t>
      </w:r>
      <w:r w:rsidRPr="002401B6" w:rsidR="00B260A3">
        <w:rPr>
          <w:lang w:val="en-GB"/>
        </w:rPr>
        <w:t xml:space="preserve"> Among other things, exposure to UV radiation from outdoor activities should be reduced as far as possible, especially in sectors such as agriculture </w:t>
      </w:r>
      <w:r w:rsidRPr="002401B6" w:rsidR="00054A80">
        <w:rPr>
          <w:lang w:val="en-GB"/>
        </w:rPr>
        <w:t>and</w:t>
      </w:r>
      <w:r w:rsidRPr="002401B6" w:rsidR="00B260A3">
        <w:rPr>
          <w:lang w:val="en-GB"/>
        </w:rPr>
        <w:t xml:space="preserve"> construction. Health is concerned as much as safety </w:t>
      </w:r>
      <w:r w:rsidRPr="002401B6" w:rsidR="002C1DB5">
        <w:rPr>
          <w:lang w:val="en-GB"/>
        </w:rPr>
        <w:t>for</w:t>
      </w:r>
      <w:r w:rsidRPr="002401B6" w:rsidR="00B260A3">
        <w:rPr>
          <w:lang w:val="en-GB"/>
        </w:rPr>
        <w:t xml:space="preserve"> the social partners, who are developing sectoral prevention policies which they finance by means of a social security contribution.</w:t>
      </w:r>
      <w:r w:rsidRPr="002401B6">
        <w:rPr>
          <w:lang w:val="en-GB"/>
        </w:rPr>
        <w:t xml:space="preserve"> </w:t>
      </w:r>
      <w:r w:rsidRPr="002401B6" w:rsidR="00B260A3">
        <w:rPr>
          <w:lang w:val="en-GB"/>
        </w:rPr>
        <w:t>T</w:t>
      </w:r>
      <w:r w:rsidRPr="002401B6">
        <w:rPr>
          <w:lang w:val="en-GB"/>
        </w:rPr>
        <w:t xml:space="preserve">o unleash their potential, a fluid </w:t>
      </w:r>
      <w:r w:rsidRPr="002401B6" w:rsidR="00205A0D">
        <w:rPr>
          <w:lang w:val="en-GB"/>
        </w:rPr>
        <w:t xml:space="preserve">coordinated approach </w:t>
      </w:r>
      <w:r w:rsidRPr="002401B6">
        <w:rPr>
          <w:lang w:val="en-GB"/>
        </w:rPr>
        <w:t xml:space="preserve">is key to enable the development and provision of high-standard solutions. Moreover, employers </w:t>
      </w:r>
      <w:r w:rsidRPr="002401B6" w:rsidR="00205A0D">
        <w:rPr>
          <w:lang w:val="en-GB"/>
        </w:rPr>
        <w:t xml:space="preserve">– and also trade unions and CSOs </w:t>
      </w:r>
      <w:r w:rsidRPr="002401B6" w:rsidR="00BE40A3">
        <w:rPr>
          <w:lang w:val="en-GB"/>
        </w:rPr>
        <w:t>–</w:t>
      </w:r>
      <w:r w:rsidRPr="002401B6" w:rsidR="00205A0D">
        <w:rPr>
          <w:lang w:val="en-GB"/>
        </w:rPr>
        <w:t xml:space="preserve"> </w:t>
      </w:r>
      <w:r w:rsidRPr="002401B6" w:rsidR="00B260A3">
        <w:rPr>
          <w:lang w:val="en-GB"/>
        </w:rPr>
        <w:t>support</w:t>
      </w:r>
      <w:r w:rsidRPr="002401B6">
        <w:rPr>
          <w:lang w:val="en-GB"/>
        </w:rPr>
        <w:t xml:space="preserve"> patients in combining work and cancer treatments and returning smoothly back to work.</w:t>
      </w:r>
    </w:p>
    <w:p w:rsidRPr="002401B6" w:rsidR="00B260A3" w:rsidRDefault="00B260A3">
      <w:pPr>
        <w:rPr>
          <w:lang w:val="en-GB"/>
        </w:rPr>
      </w:pPr>
    </w:p>
    <w:p w:rsidRPr="002401B6" w:rsidR="00B260A3" w:rsidP="00674DD2" w:rsidRDefault="00B260A3">
      <w:pPr>
        <w:pStyle w:val="Heading2"/>
        <w:rPr>
          <w:lang w:val="en-GB"/>
        </w:rPr>
      </w:pPr>
      <w:r w:rsidRPr="002401B6">
        <w:rPr>
          <w:lang w:val="en-GB"/>
        </w:rPr>
        <w:t xml:space="preserve">To encourage </w:t>
      </w:r>
      <w:r w:rsidRPr="002401B6" w:rsidR="002C4D10">
        <w:rPr>
          <w:lang w:val="en-GB"/>
        </w:rPr>
        <w:t xml:space="preserve">the </w:t>
      </w:r>
      <w:r w:rsidRPr="002401B6">
        <w:rPr>
          <w:lang w:val="en-GB"/>
        </w:rPr>
        <w:t xml:space="preserve">work </w:t>
      </w:r>
      <w:r w:rsidRPr="002401B6" w:rsidR="00205A0D">
        <w:rPr>
          <w:lang w:val="en-GB"/>
        </w:rPr>
        <w:t xml:space="preserve">of those enterprises specialised </w:t>
      </w:r>
      <w:r w:rsidRPr="002401B6">
        <w:rPr>
          <w:lang w:val="en-GB"/>
        </w:rPr>
        <w:t>in developing solutions for beating cancer, the EU needs to provide favourable conditions for innovation, investment and running businesses.</w:t>
      </w:r>
      <w:r w:rsidRPr="002401B6" w:rsidR="00205A0D">
        <w:rPr>
          <w:lang w:val="en-GB"/>
        </w:rPr>
        <w:t xml:space="preserve"> </w:t>
      </w:r>
      <w:r w:rsidRPr="002401B6" w:rsidR="00BE40A3">
        <w:rPr>
          <w:lang w:val="en-GB"/>
        </w:rPr>
        <w:t>It is essential</w:t>
      </w:r>
      <w:r w:rsidRPr="002401B6" w:rsidR="00205A0D">
        <w:rPr>
          <w:lang w:val="en-GB"/>
        </w:rPr>
        <w:t xml:space="preserve"> for strengthening the EU</w:t>
      </w:r>
      <w:r w:rsidRPr="002401B6" w:rsidR="002C4D10">
        <w:rPr>
          <w:lang w:val="en-GB"/>
        </w:rPr>
        <w:t>'</w:t>
      </w:r>
      <w:r w:rsidRPr="002401B6" w:rsidR="00205A0D">
        <w:rPr>
          <w:lang w:val="en-GB"/>
        </w:rPr>
        <w:t>s overall global position in cancer-related healthcare technologies, services and solutions.</w:t>
      </w:r>
    </w:p>
    <w:p w:rsidRPr="002401B6" w:rsidR="00B260A3" w:rsidRDefault="00B260A3">
      <w:pPr>
        <w:rPr>
          <w:lang w:val="en-GB"/>
        </w:rPr>
      </w:pPr>
    </w:p>
    <w:p w:rsidRPr="002401B6" w:rsidR="00B260A3" w:rsidP="00205A0D" w:rsidRDefault="00B260A3">
      <w:pPr>
        <w:pStyle w:val="Heading2"/>
        <w:rPr>
          <w:lang w:val="en-GB"/>
        </w:rPr>
      </w:pPr>
      <w:r w:rsidRPr="002401B6">
        <w:rPr>
          <w:lang w:val="en-GB"/>
        </w:rPr>
        <w:t xml:space="preserve">It is also important to speed up introduction and access to new cancer diagnosis </w:t>
      </w:r>
      <w:r w:rsidRPr="002401B6" w:rsidR="002C1DB5">
        <w:rPr>
          <w:lang w:val="en-GB"/>
        </w:rPr>
        <w:t xml:space="preserve">methods </w:t>
      </w:r>
      <w:r w:rsidRPr="002401B6">
        <w:rPr>
          <w:lang w:val="en-GB"/>
        </w:rPr>
        <w:t>and treatment</w:t>
      </w:r>
      <w:r w:rsidRPr="002401B6" w:rsidR="002C1DB5">
        <w:rPr>
          <w:lang w:val="en-GB"/>
        </w:rPr>
        <w:t>s</w:t>
      </w:r>
      <w:r w:rsidRPr="002401B6">
        <w:rPr>
          <w:lang w:val="en-GB"/>
        </w:rPr>
        <w:t>, without compromising the patients' and healthcare professionals' safety.</w:t>
      </w:r>
      <w:r w:rsidRPr="002401B6" w:rsidR="00205A0D">
        <w:rPr>
          <w:lang w:val="en-GB"/>
        </w:rPr>
        <w:t xml:space="preserve"> In this regard,</w:t>
      </w:r>
      <w:r w:rsidRPr="002401B6" w:rsidR="002C4D10">
        <w:rPr>
          <w:lang w:val="en-GB"/>
        </w:rPr>
        <w:t xml:space="preserve"> an </w:t>
      </w:r>
      <w:r w:rsidRPr="002401B6" w:rsidR="00205A0D">
        <w:rPr>
          <w:lang w:val="en-GB"/>
        </w:rPr>
        <w:t xml:space="preserve">enabling and supportive regulatory framework is an essential element of a favourable business environment. EU regulation must </w:t>
      </w:r>
      <w:r w:rsidRPr="002401B6" w:rsidR="00EE5D6D">
        <w:rPr>
          <w:lang w:val="en-GB"/>
        </w:rPr>
        <w:t xml:space="preserve">be science-based and </w:t>
      </w:r>
      <w:r w:rsidRPr="002401B6" w:rsidR="00205A0D">
        <w:rPr>
          <w:lang w:val="en-GB"/>
        </w:rPr>
        <w:t xml:space="preserve">ensure a level playing field </w:t>
      </w:r>
      <w:r w:rsidRPr="002401B6" w:rsidR="002C4D10">
        <w:rPr>
          <w:lang w:val="en-GB"/>
        </w:rPr>
        <w:t>for</w:t>
      </w:r>
      <w:r w:rsidRPr="002401B6" w:rsidR="00205A0D">
        <w:rPr>
          <w:lang w:val="en-GB"/>
        </w:rPr>
        <w:t xml:space="preserve"> companies within the EU and </w:t>
      </w:r>
      <w:r w:rsidRPr="002401B6" w:rsidR="003E5C89">
        <w:rPr>
          <w:lang w:val="en-GB"/>
        </w:rPr>
        <w:t>vis-a-vis</w:t>
      </w:r>
      <w:r w:rsidRPr="002401B6" w:rsidR="00205A0D">
        <w:rPr>
          <w:lang w:val="en-GB"/>
        </w:rPr>
        <w:t xml:space="preserve"> their global competitors.</w:t>
      </w:r>
    </w:p>
    <w:p w:rsidRPr="002401B6" w:rsidR="00B260A3" w:rsidRDefault="00B260A3">
      <w:pPr>
        <w:rPr>
          <w:lang w:val="en-GB"/>
        </w:rPr>
      </w:pPr>
    </w:p>
    <w:p w:rsidRPr="002401B6" w:rsidR="00B260A3" w:rsidP="00205A0D" w:rsidRDefault="00B260A3">
      <w:pPr>
        <w:pStyle w:val="Heading2"/>
        <w:rPr>
          <w:lang w:val="en-GB"/>
        </w:rPr>
      </w:pPr>
      <w:r w:rsidRPr="002401B6">
        <w:rPr>
          <w:lang w:val="en-GB"/>
        </w:rPr>
        <w:t>Considering the central and versatile role of enterprises and employers in the practical work for beating cancer, it is important to engage</w:t>
      </w:r>
      <w:r w:rsidRPr="002401B6" w:rsidR="00EE5D6D">
        <w:rPr>
          <w:lang w:val="en-GB"/>
        </w:rPr>
        <w:t>, in an all-inclusive way,</w:t>
      </w:r>
      <w:r w:rsidRPr="002401B6">
        <w:rPr>
          <w:lang w:val="en-GB"/>
        </w:rPr>
        <w:t xml:space="preserve"> a wide representation of businesses and employers, from the healthcare sector to </w:t>
      </w:r>
      <w:r w:rsidRPr="002401B6" w:rsidR="00620B54">
        <w:rPr>
          <w:lang w:val="en-GB"/>
        </w:rPr>
        <w:t xml:space="preserve">construction, </w:t>
      </w:r>
      <w:r w:rsidRPr="002401B6" w:rsidR="00EE5D6D">
        <w:rPr>
          <w:lang w:val="en-GB"/>
        </w:rPr>
        <w:t xml:space="preserve">to the consumer goods, </w:t>
      </w:r>
      <w:r w:rsidRPr="002401B6" w:rsidR="00620B54">
        <w:rPr>
          <w:lang w:val="en-GB"/>
        </w:rPr>
        <w:t xml:space="preserve">agriculture and </w:t>
      </w:r>
      <w:r w:rsidRPr="002401B6">
        <w:rPr>
          <w:lang w:val="en-GB"/>
        </w:rPr>
        <w:t xml:space="preserve">manufacturing industries, </w:t>
      </w:r>
      <w:r w:rsidRPr="002401B6" w:rsidR="00620B54">
        <w:rPr>
          <w:lang w:val="en-GB"/>
        </w:rPr>
        <w:t xml:space="preserve">as well as patient and carer representatives </w:t>
      </w:r>
      <w:r w:rsidRPr="002401B6">
        <w:rPr>
          <w:lang w:val="en-GB"/>
        </w:rPr>
        <w:t xml:space="preserve">in the further development and </w:t>
      </w:r>
      <w:r w:rsidRPr="002401B6" w:rsidR="00620B54">
        <w:rPr>
          <w:lang w:val="en-GB"/>
        </w:rPr>
        <w:t>implementation of the measures.</w:t>
      </w:r>
      <w:r w:rsidRPr="002401B6" w:rsidR="00205A0D">
        <w:rPr>
          <w:lang w:val="en-GB"/>
        </w:rPr>
        <w:t xml:space="preserve"> Equally important is the role of SP and CSO in providing best practices and information and in organising awareness</w:t>
      </w:r>
      <w:r w:rsidRPr="002401B6" w:rsidR="002C4D10">
        <w:rPr>
          <w:lang w:val="en-GB"/>
        </w:rPr>
        <w:t>-</w:t>
      </w:r>
      <w:r w:rsidRPr="002401B6" w:rsidR="00205A0D">
        <w:rPr>
          <w:lang w:val="en-GB"/>
        </w:rPr>
        <w:t>raising campaigns.</w:t>
      </w:r>
    </w:p>
    <w:p w:rsidRPr="002401B6" w:rsidR="00081BBD" w:rsidP="00A42962" w:rsidRDefault="00081BBD">
      <w:pPr>
        <w:rPr>
          <w:lang w:val="en-GB"/>
        </w:rPr>
      </w:pPr>
    </w:p>
    <w:p w:rsidRPr="002401B6" w:rsidR="00620B54" w:rsidP="00BB56D3" w:rsidRDefault="00620B54">
      <w:pPr>
        <w:pStyle w:val="Heading1"/>
        <w:keepNext/>
        <w:keepLines/>
        <w:rPr>
          <w:lang w:val="en-GB"/>
        </w:rPr>
      </w:pPr>
      <w:r w:rsidRPr="002401B6">
        <w:rPr>
          <w:b/>
          <w:lang w:val="en-GB"/>
        </w:rPr>
        <w:t>Cancers requiring special emphasis</w:t>
      </w:r>
    </w:p>
    <w:p w:rsidRPr="002401B6" w:rsidR="00620B54" w:rsidP="00BB56D3" w:rsidRDefault="00620B54">
      <w:pPr>
        <w:keepNext/>
        <w:keepLines/>
        <w:rPr>
          <w:lang w:val="en-GB"/>
        </w:rPr>
      </w:pPr>
    </w:p>
    <w:p w:rsidRPr="002401B6" w:rsidR="00620B54" w:rsidP="00674DD2" w:rsidRDefault="00620B54">
      <w:pPr>
        <w:pStyle w:val="Heading2"/>
        <w:rPr>
          <w:lang w:val="en-GB"/>
        </w:rPr>
      </w:pPr>
      <w:r w:rsidRPr="002401B6">
        <w:rPr>
          <w:lang w:val="en-GB"/>
        </w:rPr>
        <w:t>The EESC welcomes the childhood cancer initiative of the Plan</w:t>
      </w:r>
      <w:r w:rsidRPr="002401B6" w:rsidR="0078623B">
        <w:rPr>
          <w:lang w:val="en-GB"/>
        </w:rPr>
        <w:t xml:space="preserve"> but</w:t>
      </w:r>
      <w:r w:rsidRPr="002401B6">
        <w:rPr>
          <w:lang w:val="en-GB"/>
        </w:rPr>
        <w:t xml:space="preserve"> </w:t>
      </w:r>
      <w:r w:rsidRPr="002401B6" w:rsidR="002C1DB5">
        <w:rPr>
          <w:lang w:val="en-GB"/>
        </w:rPr>
        <w:t>points out</w:t>
      </w:r>
      <w:r w:rsidRPr="002401B6">
        <w:rPr>
          <w:lang w:val="en-GB"/>
        </w:rPr>
        <w:t xml:space="preserve"> that there is a major need to increase efforts to impact </w:t>
      </w:r>
      <w:r w:rsidRPr="002401B6" w:rsidR="00FE2314">
        <w:rPr>
          <w:lang w:val="en-GB"/>
        </w:rPr>
        <w:t xml:space="preserve">the lives of </w:t>
      </w:r>
      <w:r w:rsidRPr="002401B6">
        <w:rPr>
          <w:lang w:val="en-GB"/>
        </w:rPr>
        <w:t>children and adolescents</w:t>
      </w:r>
      <w:r w:rsidRPr="002401B6" w:rsidR="00FE2314">
        <w:rPr>
          <w:lang w:val="en-GB"/>
        </w:rPr>
        <w:t xml:space="preserve"> </w:t>
      </w:r>
      <w:r w:rsidRPr="002401B6">
        <w:rPr>
          <w:lang w:val="en-GB"/>
        </w:rPr>
        <w:t xml:space="preserve">and reduce existing inequalities. This requires investment in innovation, </w:t>
      </w:r>
      <w:r w:rsidRPr="002401B6" w:rsidR="00FE2314">
        <w:rPr>
          <w:lang w:val="en-GB"/>
        </w:rPr>
        <w:t xml:space="preserve">and </w:t>
      </w:r>
      <w:r w:rsidRPr="002401B6">
        <w:rPr>
          <w:lang w:val="en-GB"/>
        </w:rPr>
        <w:t>clear and urgent dedicated actions and funding intend</w:t>
      </w:r>
      <w:r w:rsidRPr="002401B6" w:rsidR="00FE2314">
        <w:rPr>
          <w:lang w:val="en-GB"/>
        </w:rPr>
        <w:t>ed</w:t>
      </w:r>
      <w:r w:rsidRPr="002401B6">
        <w:rPr>
          <w:lang w:val="en-GB"/>
        </w:rPr>
        <w:t xml:space="preserve"> to develop and introduce proper detection methods, medicines, treatment, and care services. This is the opportunity to end the unfair situation of forgotten children and to finally give them the consideration they deserve, as they represent </w:t>
      </w:r>
      <w:r w:rsidRPr="002401B6" w:rsidR="00FE2314">
        <w:rPr>
          <w:lang w:val="en-GB"/>
        </w:rPr>
        <w:t>Europe's</w:t>
      </w:r>
      <w:r w:rsidRPr="002401B6">
        <w:rPr>
          <w:lang w:val="en-GB"/>
        </w:rPr>
        <w:t xml:space="preserve"> future.</w:t>
      </w:r>
    </w:p>
    <w:p w:rsidRPr="002401B6" w:rsidR="00620B54" w:rsidP="00A42962" w:rsidRDefault="00620B54">
      <w:pPr>
        <w:rPr>
          <w:lang w:val="en-GB"/>
        </w:rPr>
      </w:pPr>
    </w:p>
    <w:p w:rsidRPr="002401B6" w:rsidR="00A42962" w:rsidP="00A42962" w:rsidRDefault="00A42962">
      <w:pPr>
        <w:pStyle w:val="Heading2"/>
        <w:rPr>
          <w:lang w:val="en-GB"/>
        </w:rPr>
      </w:pPr>
      <w:r w:rsidRPr="002401B6">
        <w:rPr>
          <w:lang w:val="en-GB"/>
        </w:rPr>
        <w:t xml:space="preserve">The EESC notes that haematological cancers represent a </w:t>
      </w:r>
      <w:r w:rsidRPr="002401B6">
        <w:rPr>
          <w:bCs/>
          <w:lang w:val="en-GB"/>
        </w:rPr>
        <w:t>significant health and economic burden</w:t>
      </w:r>
      <w:r w:rsidRPr="002401B6">
        <w:rPr>
          <w:lang w:val="en-GB"/>
        </w:rPr>
        <w:t xml:space="preserve"> for European citizens</w:t>
      </w:r>
      <w:r w:rsidRPr="002401B6" w:rsidR="00620B54">
        <w:rPr>
          <w:lang w:val="en-GB"/>
        </w:rPr>
        <w:t xml:space="preserve">. The </w:t>
      </w:r>
      <w:r w:rsidRPr="002401B6" w:rsidR="0078623B">
        <w:rPr>
          <w:lang w:val="en-GB"/>
        </w:rPr>
        <w:t>Plan</w:t>
      </w:r>
      <w:r w:rsidRPr="002401B6">
        <w:rPr>
          <w:lang w:val="en-GB"/>
        </w:rPr>
        <w:t xml:space="preserve"> can alleviate these burdens for patients, their families and society through considerations and innovative approaches to blood cancer care. Appropriate commitment to and investment in high</w:t>
      </w:r>
      <w:r w:rsidRPr="002401B6" w:rsidR="00620B54">
        <w:rPr>
          <w:lang w:val="en-GB"/>
        </w:rPr>
        <w:t>-</w:t>
      </w:r>
      <w:r w:rsidRPr="002401B6">
        <w:rPr>
          <w:lang w:val="en-GB"/>
        </w:rPr>
        <w:t>quality cancer surveillance, health system reform and innovative approaches to care can ensure that meaningful advances in blood cancer treatment can be made available to all on a sustainable basis.</w:t>
      </w:r>
    </w:p>
    <w:p w:rsidRPr="002401B6" w:rsidR="00A42962" w:rsidP="00A42962" w:rsidRDefault="00A42962">
      <w:pPr>
        <w:rPr>
          <w:iCs/>
          <w:lang w:val="en-GB"/>
        </w:rPr>
      </w:pPr>
    </w:p>
    <w:p w:rsidRPr="002401B6" w:rsidR="00A42962" w:rsidP="00A42962" w:rsidRDefault="00A42962">
      <w:pPr>
        <w:pStyle w:val="Heading2"/>
        <w:rPr>
          <w:lang w:val="en-GB"/>
        </w:rPr>
      </w:pPr>
      <w:r w:rsidRPr="002401B6">
        <w:rPr>
          <w:lang w:val="en-GB"/>
        </w:rPr>
        <w:t xml:space="preserve">The </w:t>
      </w:r>
      <w:r w:rsidRPr="002401B6" w:rsidR="0078623B">
        <w:rPr>
          <w:lang w:val="en-GB"/>
        </w:rPr>
        <w:t>EESC</w:t>
      </w:r>
      <w:r w:rsidRPr="002401B6">
        <w:rPr>
          <w:lang w:val="en-GB"/>
        </w:rPr>
        <w:t xml:space="preserve"> points out that the </w:t>
      </w:r>
      <w:r w:rsidRPr="002401B6" w:rsidR="0078623B">
        <w:rPr>
          <w:lang w:val="en-GB"/>
        </w:rPr>
        <w:t>Plan</w:t>
      </w:r>
      <w:r w:rsidRPr="002401B6">
        <w:rPr>
          <w:lang w:val="en-GB"/>
        </w:rPr>
        <w:t xml:space="preserve"> could emphasi</w:t>
      </w:r>
      <w:r w:rsidRPr="002401B6" w:rsidR="001D3366">
        <w:rPr>
          <w:lang w:val="en-GB"/>
        </w:rPr>
        <w:t>s</w:t>
      </w:r>
      <w:r w:rsidRPr="002401B6">
        <w:rPr>
          <w:lang w:val="en-GB"/>
        </w:rPr>
        <w:t xml:space="preserve">e the need to focus specifically on malignant haematology and enable the deployment of dedicated initiatives to advance the status of care for this </w:t>
      </w:r>
      <w:r w:rsidRPr="002401B6">
        <w:rPr>
          <w:bCs/>
          <w:lang w:val="en-GB"/>
        </w:rPr>
        <w:t>frailest patient population:</w:t>
      </w:r>
    </w:p>
    <w:p w:rsidRPr="002401B6" w:rsidR="00A42962" w:rsidP="00A42962" w:rsidRDefault="00A42962">
      <w:pPr>
        <w:rPr>
          <w:lang w:val="en-GB"/>
        </w:rPr>
      </w:pPr>
    </w:p>
    <w:p w:rsidRPr="002401B6" w:rsidR="00A42962" w:rsidP="00B42AB5" w:rsidRDefault="00781690">
      <w:pPr>
        <w:pStyle w:val="ListParagraph"/>
        <w:numPr>
          <w:ilvl w:val="0"/>
          <w:numId w:val="78"/>
        </w:numPr>
        <w:tabs>
          <w:tab w:val="clear" w:pos="0"/>
        </w:tabs>
        <w:ind w:left="850"/>
        <w:rPr>
          <w:lang w:val="en-GB"/>
        </w:rPr>
      </w:pPr>
      <w:r w:rsidRPr="002401B6">
        <w:rPr>
          <w:lang w:val="en-GB"/>
        </w:rPr>
        <w:t>M</w:t>
      </w:r>
      <w:r w:rsidRPr="002401B6" w:rsidR="00A42962">
        <w:rPr>
          <w:lang w:val="en-GB"/>
        </w:rPr>
        <w:t>alignant blood cancers were responsible for 9% of all cancer deaths (124</w:t>
      </w:r>
      <w:r w:rsidRPr="002401B6" w:rsidR="001D3366">
        <w:rPr>
          <w:lang w:val="en-GB"/>
        </w:rPr>
        <w:t> </w:t>
      </w:r>
      <w:r w:rsidRPr="002401B6" w:rsidR="00A42962">
        <w:rPr>
          <w:lang w:val="en-GB"/>
        </w:rPr>
        <w:t>000) in the EU, Norway, Switzerland and Iceland in 2016, and account for 12% of the total healthcare expenditure in the EU</w:t>
      </w:r>
      <w:r w:rsidRPr="002401B6" w:rsidR="00A42962">
        <w:rPr>
          <w:sz w:val="24"/>
          <w:szCs w:val="24"/>
          <w:vertAlign w:val="superscript"/>
          <w:lang w:val="en-GB"/>
        </w:rPr>
        <w:footnoteReference w:id="3"/>
      </w:r>
      <w:r w:rsidRPr="002401B6" w:rsidR="00A42962">
        <w:rPr>
          <w:lang w:val="en-GB"/>
        </w:rPr>
        <w:t>;</w:t>
      </w:r>
    </w:p>
    <w:p w:rsidRPr="002401B6" w:rsidR="00A42962" w:rsidP="00B42AB5" w:rsidRDefault="00A64B45">
      <w:pPr>
        <w:pStyle w:val="ListParagraph"/>
        <w:numPr>
          <w:ilvl w:val="0"/>
          <w:numId w:val="78"/>
        </w:numPr>
        <w:tabs>
          <w:tab w:val="clear" w:pos="0"/>
        </w:tabs>
        <w:ind w:left="850"/>
        <w:rPr>
          <w:lang w:val="en-GB"/>
        </w:rPr>
      </w:pPr>
      <w:r w:rsidRPr="002401B6">
        <w:rPr>
          <w:lang w:val="en-GB"/>
        </w:rPr>
        <w:t>Haematological</w:t>
      </w:r>
      <w:r w:rsidRPr="002401B6" w:rsidR="00A42962">
        <w:rPr>
          <w:lang w:val="en-GB"/>
        </w:rPr>
        <w:t xml:space="preserve"> cancers typically affect the very young </w:t>
      </w:r>
      <w:r w:rsidRPr="002401B6" w:rsidR="00620B54">
        <w:rPr>
          <w:lang w:val="en-GB"/>
        </w:rPr>
        <w:t xml:space="preserve">(30% of childhood cancers) </w:t>
      </w:r>
      <w:r w:rsidRPr="002401B6" w:rsidR="00A42962">
        <w:rPr>
          <w:lang w:val="en-GB"/>
        </w:rPr>
        <w:t>and the very old in society, the frailest among us</w:t>
      </w:r>
      <w:r w:rsidRPr="002401B6" w:rsidR="001D3366">
        <w:rPr>
          <w:lang w:val="en-GB"/>
        </w:rPr>
        <w:t>,</w:t>
      </w:r>
      <w:r w:rsidRPr="002401B6" w:rsidR="00A42962">
        <w:rPr>
          <w:lang w:val="en-GB"/>
        </w:rPr>
        <w:t xml:space="preserve"> and it is unfair </w:t>
      </w:r>
      <w:r w:rsidRPr="002401B6" w:rsidR="001D3366">
        <w:rPr>
          <w:lang w:val="en-GB"/>
        </w:rPr>
        <w:t>not to</w:t>
      </w:r>
      <w:r w:rsidRPr="002401B6" w:rsidR="00D342F0">
        <w:rPr>
          <w:lang w:val="en-GB"/>
        </w:rPr>
        <w:t xml:space="preserve"> </w:t>
      </w:r>
      <w:r w:rsidRPr="002401B6" w:rsidR="00620B54">
        <w:rPr>
          <w:lang w:val="en-GB"/>
        </w:rPr>
        <w:t>consider</w:t>
      </w:r>
      <w:r w:rsidRPr="002401B6" w:rsidR="001D3366">
        <w:rPr>
          <w:lang w:val="en-GB"/>
        </w:rPr>
        <w:t xml:space="preserve"> them</w:t>
      </w:r>
      <w:r w:rsidRPr="002401B6" w:rsidR="00A42962">
        <w:rPr>
          <w:lang w:val="en-GB"/>
        </w:rPr>
        <w:t xml:space="preserve"> because they are not </w:t>
      </w:r>
      <w:r w:rsidRPr="002401B6" w:rsidR="001D3366">
        <w:rPr>
          <w:lang w:val="en-GB"/>
        </w:rPr>
        <w:t xml:space="preserve">the </w:t>
      </w:r>
      <w:r w:rsidRPr="002401B6" w:rsidR="00A42962">
        <w:rPr>
          <w:lang w:val="en-GB"/>
        </w:rPr>
        <w:t>economic/working population.</w:t>
      </w:r>
    </w:p>
    <w:p w:rsidRPr="002401B6" w:rsidR="00A42962" w:rsidP="00A42962" w:rsidRDefault="00A42962">
      <w:pPr>
        <w:rPr>
          <w:lang w:val="en-GB"/>
        </w:rPr>
      </w:pPr>
    </w:p>
    <w:p w:rsidRPr="002401B6" w:rsidR="00A42962" w:rsidP="00BB56D3" w:rsidRDefault="00A42962">
      <w:pPr>
        <w:pStyle w:val="Heading1"/>
        <w:keepNext/>
        <w:keepLines/>
        <w:rPr>
          <w:lang w:val="en-GB"/>
        </w:rPr>
      </w:pPr>
      <w:r w:rsidRPr="002401B6">
        <w:rPr>
          <w:b/>
          <w:lang w:val="en-GB"/>
        </w:rPr>
        <w:t>International cooperation in the fight against cancer</w:t>
      </w:r>
    </w:p>
    <w:p w:rsidRPr="002401B6" w:rsidR="00A42962" w:rsidP="00BB56D3" w:rsidRDefault="00A42962">
      <w:pPr>
        <w:keepNext/>
        <w:keepLines/>
        <w:rPr>
          <w:lang w:val="en-GB"/>
        </w:rPr>
      </w:pPr>
    </w:p>
    <w:p w:rsidRPr="002401B6" w:rsidR="00620B54" w:rsidP="00620B54" w:rsidRDefault="00A42962">
      <w:pPr>
        <w:pStyle w:val="Heading2"/>
        <w:rPr>
          <w:lang w:val="en-GB"/>
        </w:rPr>
      </w:pPr>
      <w:r w:rsidRPr="002401B6">
        <w:rPr>
          <w:lang w:val="en-GB"/>
        </w:rPr>
        <w:t xml:space="preserve">The EESC concurs that international cooperation and co-ordination </w:t>
      </w:r>
      <w:r w:rsidRPr="002401B6" w:rsidR="005C5837">
        <w:rPr>
          <w:lang w:val="en-GB"/>
        </w:rPr>
        <w:t xml:space="preserve">are </w:t>
      </w:r>
      <w:r w:rsidRPr="002401B6">
        <w:rPr>
          <w:lang w:val="en-GB"/>
        </w:rPr>
        <w:t xml:space="preserve">necessary to boost medical development and the prospects for long term health for millions of Europeans, but is concerned that </w:t>
      </w:r>
      <w:r w:rsidRPr="002401B6" w:rsidR="0078623B">
        <w:rPr>
          <w:lang w:val="en-GB"/>
        </w:rPr>
        <w:t>the</w:t>
      </w:r>
      <w:r w:rsidRPr="002401B6">
        <w:rPr>
          <w:lang w:val="en-GB"/>
        </w:rPr>
        <w:t xml:space="preserve"> Plan adopts an overly general approach to international cooperation in its implementation. </w:t>
      </w:r>
      <w:r w:rsidRPr="002401B6" w:rsidR="00620B54">
        <w:rPr>
          <w:lang w:val="en-GB"/>
        </w:rPr>
        <w:t xml:space="preserve">The importance of international cooperation is illustrated best by the sad fact that </w:t>
      </w:r>
      <w:r w:rsidRPr="002401B6" w:rsidR="00B041E2">
        <w:rPr>
          <w:lang w:val="en-GB"/>
        </w:rPr>
        <w:t>five-</w:t>
      </w:r>
      <w:r w:rsidRPr="002401B6" w:rsidR="00620B54">
        <w:rPr>
          <w:lang w:val="en-GB"/>
        </w:rPr>
        <w:t xml:space="preserve">year survival rates are highest in the USA, Canada, Australia, </w:t>
      </w:r>
      <w:r w:rsidRPr="002401B6" w:rsidR="00B041E2">
        <w:rPr>
          <w:lang w:val="en-GB"/>
        </w:rPr>
        <w:t xml:space="preserve">and </w:t>
      </w:r>
      <w:r w:rsidRPr="002401B6" w:rsidR="00620B54">
        <w:rPr>
          <w:lang w:val="en-GB"/>
        </w:rPr>
        <w:t>New Ze</w:t>
      </w:r>
      <w:r w:rsidRPr="002401B6" w:rsidR="00B041E2">
        <w:rPr>
          <w:lang w:val="en-GB"/>
        </w:rPr>
        <w:t>a</w:t>
      </w:r>
      <w:r w:rsidRPr="002401B6" w:rsidR="00620B54">
        <w:rPr>
          <w:lang w:val="en-GB"/>
        </w:rPr>
        <w:t>land, followed by the best EU countries.</w:t>
      </w:r>
    </w:p>
    <w:p w:rsidRPr="002401B6" w:rsidR="00620B54" w:rsidP="00674DD2" w:rsidRDefault="00620B54">
      <w:pPr>
        <w:rPr>
          <w:lang w:val="en-GB"/>
        </w:rPr>
      </w:pPr>
    </w:p>
    <w:p w:rsidRPr="002401B6" w:rsidR="00A42962" w:rsidP="00A42962" w:rsidRDefault="00620B54">
      <w:pPr>
        <w:pStyle w:val="Heading2"/>
        <w:rPr>
          <w:lang w:val="en-GB"/>
        </w:rPr>
      </w:pPr>
      <w:r w:rsidRPr="002401B6">
        <w:rPr>
          <w:lang w:val="en-GB"/>
        </w:rPr>
        <w:t>The EESC emphasises that cooperation is particularly important in the field of research and innovation</w:t>
      </w:r>
      <w:r w:rsidRPr="002401B6" w:rsidR="00EE5D6D">
        <w:rPr>
          <w:lang w:val="en-GB"/>
        </w:rPr>
        <w:t>, with a view to setting science-based and risk-proportionate regulatory standards,</w:t>
      </w:r>
      <w:r w:rsidRPr="002401B6">
        <w:rPr>
          <w:lang w:val="en-GB"/>
        </w:rPr>
        <w:t xml:space="preserve"> and in facilitating knowledge</w:t>
      </w:r>
      <w:r w:rsidRPr="002401B6" w:rsidR="002B250F">
        <w:rPr>
          <w:lang w:val="en-GB"/>
        </w:rPr>
        <w:t>-</w:t>
      </w:r>
      <w:r w:rsidRPr="002401B6">
        <w:rPr>
          <w:lang w:val="en-GB"/>
        </w:rPr>
        <w:t>sharing to make sure that the most advanced knowledge is available for the benefit of Europeans.</w:t>
      </w:r>
    </w:p>
    <w:p w:rsidRPr="002401B6" w:rsidR="00A42962" w:rsidP="00A42962" w:rsidRDefault="00A42962">
      <w:pPr>
        <w:rPr>
          <w:lang w:val="en-GB"/>
        </w:rPr>
      </w:pPr>
    </w:p>
    <w:p w:rsidRPr="002401B6" w:rsidR="00AE5313" w:rsidP="00804D54" w:rsidRDefault="00AE5313">
      <w:pPr>
        <w:pStyle w:val="Heading2"/>
        <w:rPr>
          <w:lang w:val="en-GB"/>
        </w:rPr>
      </w:pPr>
      <w:r w:rsidRPr="00804D54">
        <w:rPr>
          <w:iCs/>
          <w:lang w:val="en-GB"/>
        </w:rPr>
        <w:t>The EESC stresses the importance of reducing tobacco smoking and notes the report from the Commission on the application of Directive 2014/40/EU concerning the manufacture, presentation and sale of tobacco and related products</w:t>
      </w:r>
      <w:r w:rsidRPr="00804D54">
        <w:rPr>
          <w:iCs/>
          <w:vertAlign w:val="superscript"/>
          <w:lang w:val="en-GB"/>
        </w:rPr>
        <w:footnoteReference w:id="4"/>
      </w:r>
      <w:r w:rsidRPr="00804D54">
        <w:rPr>
          <w:iCs/>
          <w:lang w:val="en-GB"/>
        </w:rPr>
        <w:t xml:space="preserve"> and its conclusions, aimed at reducing smokers' exposure to hazardous and/or addictive substances. In this context, noting the Commission opinion on emissions and measurement methods [section 3.1 of the report], the EESC also advocates further research on the testing method for the content of smoke emissions, including via the WHO-Intense method, and advocates implementation of WHO recommendations based on research outcomes.</w:t>
      </w:r>
    </w:p>
    <w:p w:rsidRPr="002401B6" w:rsidR="00AE5313" w:rsidP="00A42962" w:rsidRDefault="00AE5313">
      <w:pPr>
        <w:rPr>
          <w:lang w:val="en-GB"/>
        </w:rPr>
      </w:pPr>
    </w:p>
    <w:p w:rsidRPr="002401B6" w:rsidR="00A42962" w:rsidP="00A42962" w:rsidRDefault="00A42962">
      <w:pPr>
        <w:pStyle w:val="Heading2"/>
        <w:rPr>
          <w:lang w:val="en-GB"/>
        </w:rPr>
      </w:pPr>
      <w:r w:rsidRPr="002401B6">
        <w:rPr>
          <w:lang w:val="en-GB"/>
        </w:rPr>
        <w:t>While the EU should avoid excessive dependence on foreign countries in strategic areas such as healthcare, international economic cooperation is necessary for the availability of safe medicines, equipment and other goods needed in cancer treatment. Trade must be open</w:t>
      </w:r>
      <w:r w:rsidRPr="002401B6" w:rsidR="003E5C89">
        <w:rPr>
          <w:lang w:val="en-GB"/>
        </w:rPr>
        <w:t xml:space="preserve"> </w:t>
      </w:r>
      <w:r w:rsidRPr="002401B6" w:rsidR="00620B54">
        <w:rPr>
          <w:lang w:val="en-GB"/>
        </w:rPr>
        <w:t>with respect to the international supply chains of the health sector</w:t>
      </w:r>
      <w:r w:rsidRPr="002401B6">
        <w:rPr>
          <w:lang w:val="en-GB"/>
        </w:rPr>
        <w:t xml:space="preserve">, and the EU must </w:t>
      </w:r>
      <w:r w:rsidRPr="002401B6" w:rsidR="001D3366">
        <w:rPr>
          <w:lang w:val="en-GB"/>
        </w:rPr>
        <w:t xml:space="preserve">combat </w:t>
      </w:r>
      <w:r w:rsidRPr="002401B6">
        <w:rPr>
          <w:lang w:val="en-GB"/>
        </w:rPr>
        <w:t>any sort of protectionism between MS or globally. Solutions to cancer also provide European companies with significant export opportunities, which need to be promoted to respond to the global demand for health-related solutions.</w:t>
      </w:r>
    </w:p>
    <w:p w:rsidRPr="002401B6" w:rsidR="00A42962" w:rsidP="00A42962" w:rsidRDefault="00A42962">
      <w:pPr>
        <w:rPr>
          <w:lang w:val="en-GB"/>
        </w:rPr>
      </w:pPr>
    </w:p>
    <w:p w:rsidRPr="002401B6" w:rsidR="00A42962" w:rsidP="00BB56D3" w:rsidRDefault="00A42962">
      <w:pPr>
        <w:pStyle w:val="Heading1"/>
        <w:keepNext/>
        <w:keepLines/>
        <w:rPr>
          <w:lang w:val="en-GB"/>
        </w:rPr>
      </w:pPr>
      <w:r w:rsidRPr="002401B6">
        <w:rPr>
          <w:b/>
          <w:lang w:val="en-GB"/>
        </w:rPr>
        <w:t>Health promotion activities</w:t>
      </w:r>
      <w:r w:rsidRPr="002401B6" w:rsidR="00620B54">
        <w:rPr>
          <w:b/>
          <w:lang w:val="en-GB"/>
        </w:rPr>
        <w:t xml:space="preserve"> and communication</w:t>
      </w:r>
    </w:p>
    <w:p w:rsidRPr="002401B6" w:rsidR="00A42962" w:rsidP="00BB56D3" w:rsidRDefault="00A42962">
      <w:pPr>
        <w:keepNext/>
        <w:keepLines/>
        <w:rPr>
          <w:lang w:val="en-GB"/>
        </w:rPr>
      </w:pPr>
    </w:p>
    <w:p w:rsidRPr="002401B6" w:rsidR="00FD02B1" w:rsidP="0078623B" w:rsidRDefault="00620B54">
      <w:pPr>
        <w:pStyle w:val="Heading2"/>
        <w:rPr>
          <w:lang w:val="en-GB"/>
        </w:rPr>
      </w:pPr>
      <w:r w:rsidRPr="002401B6">
        <w:rPr>
          <w:lang w:val="en-GB"/>
        </w:rPr>
        <w:t>T</w:t>
      </w:r>
      <w:r w:rsidRPr="002401B6" w:rsidR="00A42962">
        <w:rPr>
          <w:lang w:val="en-GB"/>
        </w:rPr>
        <w:t xml:space="preserve">he EESC appreciates the </w:t>
      </w:r>
      <w:r w:rsidRPr="002401B6" w:rsidR="00FD02B1">
        <w:rPr>
          <w:lang w:val="en-GB"/>
        </w:rPr>
        <w:t>strong link between the quality of the environment and a healthy lifestyle and diet as factors reducing the incidence of cancer.</w:t>
      </w:r>
      <w:r w:rsidRPr="002401B6" w:rsidR="0078623B">
        <w:rPr>
          <w:lang w:val="en-GB"/>
        </w:rPr>
        <w:t xml:space="preserve"> The MS, together with the</w:t>
      </w:r>
      <w:r w:rsidRPr="002401B6" w:rsidR="00507CF1">
        <w:rPr>
          <w:lang w:val="en-GB"/>
        </w:rPr>
        <w:t xml:space="preserve"> SP</w:t>
      </w:r>
      <w:r w:rsidRPr="002401B6" w:rsidR="0078623B">
        <w:rPr>
          <w:lang w:val="en-GB"/>
        </w:rPr>
        <w:t xml:space="preserve"> and </w:t>
      </w:r>
      <w:r w:rsidRPr="002401B6" w:rsidR="00D95A6A">
        <w:rPr>
          <w:lang w:val="en-GB"/>
        </w:rPr>
        <w:t>CSO</w:t>
      </w:r>
      <w:r w:rsidRPr="002401B6" w:rsidR="00D139E7">
        <w:rPr>
          <w:lang w:val="en-GB"/>
        </w:rPr>
        <w:t>,</w:t>
      </w:r>
      <w:r w:rsidRPr="002401B6" w:rsidR="0078623B">
        <w:rPr>
          <w:lang w:val="en-GB"/>
        </w:rPr>
        <w:t xml:space="preserve"> shall explain and promote the role of high-quality food products, clean water and air in preventing cancer, as well as other diseases. They also shall join forces to educate and motivate people to follow a healthy lifestyle and avoid hazardous things, as this is the only way also to help children avoid exposure to carcinogens. </w:t>
      </w:r>
      <w:r w:rsidRPr="002401B6" w:rsidR="00D139E7">
        <w:rPr>
          <w:lang w:val="en-GB"/>
        </w:rPr>
        <w:t>In addition, m</w:t>
      </w:r>
      <w:r w:rsidRPr="002401B6" w:rsidR="0078623B">
        <w:rPr>
          <w:lang w:val="en-GB"/>
        </w:rPr>
        <w:t xml:space="preserve">ore knowledge on cancer issues should be provided </w:t>
      </w:r>
      <w:r w:rsidRPr="002401B6" w:rsidR="002C4D10">
        <w:rPr>
          <w:lang w:val="en-GB"/>
        </w:rPr>
        <w:t>in</w:t>
      </w:r>
      <w:r w:rsidRPr="002401B6" w:rsidR="0078623B">
        <w:rPr>
          <w:lang w:val="en-GB"/>
        </w:rPr>
        <w:t xml:space="preserve"> schools and through campaigns </w:t>
      </w:r>
      <w:r w:rsidRPr="002401B6" w:rsidR="002C4D10">
        <w:rPr>
          <w:lang w:val="en-GB"/>
        </w:rPr>
        <w:t>using</w:t>
      </w:r>
      <w:r w:rsidRPr="002401B6" w:rsidR="0078623B">
        <w:rPr>
          <w:lang w:val="en-GB"/>
        </w:rPr>
        <w:t xml:space="preserve"> traditional and social media.</w:t>
      </w:r>
    </w:p>
    <w:p w:rsidRPr="002401B6" w:rsidR="00FD02B1" w:rsidP="00674DD2" w:rsidRDefault="00FD02B1">
      <w:pPr>
        <w:rPr>
          <w:lang w:val="en-GB"/>
        </w:rPr>
      </w:pPr>
    </w:p>
    <w:p w:rsidRPr="002401B6" w:rsidR="00A42962" w:rsidP="00A42962" w:rsidRDefault="0078623B">
      <w:pPr>
        <w:pStyle w:val="Heading2"/>
        <w:rPr>
          <w:lang w:val="en-GB"/>
        </w:rPr>
      </w:pPr>
      <w:r w:rsidRPr="002401B6">
        <w:rPr>
          <w:lang w:val="en-GB"/>
        </w:rPr>
        <w:t>There is a</w:t>
      </w:r>
      <w:r w:rsidRPr="002401B6" w:rsidR="00FD02B1">
        <w:rPr>
          <w:lang w:val="en-GB"/>
        </w:rPr>
        <w:t xml:space="preserve"> need to raise</w:t>
      </w:r>
      <w:r w:rsidRPr="002401B6" w:rsidR="00A42962">
        <w:rPr>
          <w:lang w:val="en-GB"/>
        </w:rPr>
        <w:t xml:space="preserve"> public awareness of a healthy lifestyle</w:t>
      </w:r>
      <w:r w:rsidRPr="002401B6" w:rsidR="00EE5D6D">
        <w:rPr>
          <w:lang w:val="en-GB"/>
        </w:rPr>
        <w:t>, and accurately inform consumers about better alternatives,</w:t>
      </w:r>
      <w:r w:rsidRPr="002401B6" w:rsidR="00A42962">
        <w:rPr>
          <w:lang w:val="en-GB"/>
        </w:rPr>
        <w:t xml:space="preserve"> as well as prevention, treatment and care for cancer patients, survivors and people at risk of cancer.</w:t>
      </w:r>
    </w:p>
    <w:p w:rsidRPr="002401B6" w:rsidR="00A42962" w:rsidP="00A42962" w:rsidRDefault="00A42962">
      <w:pPr>
        <w:rPr>
          <w:lang w:val="en-GB"/>
        </w:rPr>
      </w:pPr>
    </w:p>
    <w:p w:rsidRPr="002401B6" w:rsidR="00A42962" w:rsidP="00A42962" w:rsidRDefault="00A42962">
      <w:pPr>
        <w:pStyle w:val="Heading2"/>
        <w:rPr>
          <w:lang w:val="en-GB"/>
        </w:rPr>
      </w:pPr>
      <w:r w:rsidRPr="002401B6">
        <w:rPr>
          <w:lang w:val="en-GB"/>
        </w:rPr>
        <w:t>The Committee</w:t>
      </w:r>
      <w:r w:rsidRPr="002401B6" w:rsidR="002B250F">
        <w:rPr>
          <w:lang w:val="en-GB"/>
        </w:rPr>
        <w:t>,</w:t>
      </w:r>
      <w:r w:rsidRPr="002401B6">
        <w:rPr>
          <w:lang w:val="en-GB"/>
        </w:rPr>
        <w:t xml:space="preserve"> </w:t>
      </w:r>
      <w:r w:rsidRPr="002401B6" w:rsidR="00FD02B1">
        <w:rPr>
          <w:lang w:val="en-GB"/>
        </w:rPr>
        <w:t>however</w:t>
      </w:r>
      <w:r w:rsidRPr="002401B6" w:rsidR="002B250F">
        <w:rPr>
          <w:lang w:val="en-GB"/>
        </w:rPr>
        <w:t>,</w:t>
      </w:r>
      <w:r w:rsidRPr="002401B6" w:rsidR="00FD02B1">
        <w:rPr>
          <w:lang w:val="en-GB"/>
        </w:rPr>
        <w:t xml:space="preserve"> </w:t>
      </w:r>
      <w:r w:rsidRPr="002401B6">
        <w:rPr>
          <w:lang w:val="en-GB"/>
        </w:rPr>
        <w:t>points out that the level of health awareness varies between regions and changes in this area must take account of local customs.</w:t>
      </w:r>
    </w:p>
    <w:p w:rsidRPr="002401B6" w:rsidR="00FD02B1" w:rsidP="00674DD2" w:rsidRDefault="00FD02B1">
      <w:pPr>
        <w:rPr>
          <w:lang w:val="en-GB"/>
        </w:rPr>
      </w:pPr>
    </w:p>
    <w:p w:rsidRPr="002401B6" w:rsidR="00FD02B1" w:rsidP="00FD02B1" w:rsidRDefault="00FD02B1">
      <w:pPr>
        <w:pStyle w:val="Heading2"/>
        <w:rPr>
          <w:lang w:val="en-GB"/>
        </w:rPr>
      </w:pPr>
      <w:r w:rsidRPr="002401B6">
        <w:rPr>
          <w:lang w:val="en-GB"/>
        </w:rPr>
        <w:t xml:space="preserve">As cooperation between the </w:t>
      </w:r>
      <w:r w:rsidRPr="002401B6" w:rsidR="0078623B">
        <w:rPr>
          <w:lang w:val="en-GB"/>
        </w:rPr>
        <w:t>SP</w:t>
      </w:r>
      <w:r w:rsidRPr="002401B6">
        <w:rPr>
          <w:lang w:val="en-GB"/>
        </w:rPr>
        <w:t xml:space="preserve"> play</w:t>
      </w:r>
      <w:r w:rsidRPr="002401B6" w:rsidR="002B250F">
        <w:rPr>
          <w:lang w:val="en-GB"/>
        </w:rPr>
        <w:t>s</w:t>
      </w:r>
      <w:r w:rsidRPr="002401B6">
        <w:rPr>
          <w:lang w:val="en-GB"/>
        </w:rPr>
        <w:t xml:space="preserve"> a key role </w:t>
      </w:r>
      <w:r w:rsidRPr="002401B6" w:rsidR="002B250F">
        <w:rPr>
          <w:lang w:val="en-GB"/>
        </w:rPr>
        <w:t>in</w:t>
      </w:r>
      <w:r w:rsidRPr="002401B6">
        <w:rPr>
          <w:lang w:val="en-GB"/>
        </w:rPr>
        <w:t xml:space="preserve"> </w:t>
      </w:r>
      <w:r w:rsidRPr="002401B6" w:rsidR="002B250F">
        <w:rPr>
          <w:lang w:val="en-GB"/>
        </w:rPr>
        <w:t xml:space="preserve">the </w:t>
      </w:r>
      <w:r w:rsidRPr="002401B6">
        <w:rPr>
          <w:lang w:val="en-GB"/>
        </w:rPr>
        <w:t>workplace, the EESC calls for EU-wide campaigns to increase employees</w:t>
      </w:r>
      <w:r w:rsidRPr="002401B6" w:rsidR="002B250F">
        <w:rPr>
          <w:lang w:val="en-GB"/>
        </w:rPr>
        <w:t>'</w:t>
      </w:r>
      <w:r w:rsidRPr="002401B6">
        <w:rPr>
          <w:lang w:val="en-GB"/>
        </w:rPr>
        <w:t xml:space="preserve"> and employers</w:t>
      </w:r>
      <w:r w:rsidRPr="002401B6" w:rsidR="002B250F">
        <w:rPr>
          <w:lang w:val="en-GB"/>
        </w:rPr>
        <w:t>'</w:t>
      </w:r>
      <w:r w:rsidRPr="002401B6">
        <w:rPr>
          <w:lang w:val="en-GB"/>
        </w:rPr>
        <w:t xml:space="preserve"> awareness and knowledge </w:t>
      </w:r>
      <w:r w:rsidRPr="002401B6" w:rsidR="002B250F">
        <w:rPr>
          <w:lang w:val="en-GB"/>
        </w:rPr>
        <w:t>of</w:t>
      </w:r>
      <w:r w:rsidRPr="002401B6">
        <w:rPr>
          <w:lang w:val="en-GB"/>
        </w:rPr>
        <w:t xml:space="preserve"> measures to prevent and manage cancer </w:t>
      </w:r>
      <w:r w:rsidRPr="002401B6" w:rsidR="002B250F">
        <w:rPr>
          <w:lang w:val="en-GB"/>
        </w:rPr>
        <w:t>in the</w:t>
      </w:r>
      <w:r w:rsidRPr="002401B6">
        <w:rPr>
          <w:lang w:val="en-GB"/>
        </w:rPr>
        <w:t xml:space="preserve"> workplace, including </w:t>
      </w:r>
      <w:r w:rsidRPr="002401B6" w:rsidR="002B250F">
        <w:rPr>
          <w:lang w:val="en-GB"/>
        </w:rPr>
        <w:t xml:space="preserve">by </w:t>
      </w:r>
      <w:r w:rsidRPr="002401B6">
        <w:rPr>
          <w:lang w:val="en-GB"/>
        </w:rPr>
        <w:t>sharing good practices and providing toolkits and training.</w:t>
      </w:r>
    </w:p>
    <w:p w:rsidRPr="002401B6" w:rsidR="00A42962" w:rsidP="00A42962" w:rsidRDefault="00A42962">
      <w:pPr>
        <w:rPr>
          <w:lang w:val="en-GB"/>
        </w:rPr>
      </w:pPr>
    </w:p>
    <w:p w:rsidRPr="002401B6" w:rsidR="00A42962" w:rsidP="00A42962" w:rsidRDefault="00A42962">
      <w:pPr>
        <w:pStyle w:val="Heading2"/>
        <w:rPr>
          <w:lang w:val="en-GB"/>
        </w:rPr>
      </w:pPr>
      <w:r w:rsidRPr="002401B6">
        <w:rPr>
          <w:lang w:val="en-GB"/>
        </w:rPr>
        <w:t xml:space="preserve">The EESC agrees that </w:t>
      </w:r>
      <w:r w:rsidRPr="002401B6" w:rsidR="0078623B">
        <w:rPr>
          <w:lang w:val="en-GB"/>
        </w:rPr>
        <w:t>the</w:t>
      </w:r>
      <w:r w:rsidRPr="002401B6" w:rsidR="00D95A6A">
        <w:rPr>
          <w:lang w:val="en-GB"/>
        </w:rPr>
        <w:t xml:space="preserve"> Plan has</w:t>
      </w:r>
      <w:r w:rsidRPr="002401B6">
        <w:rPr>
          <w:lang w:val="en-GB"/>
        </w:rPr>
        <w:t xml:space="preserve"> great potential to secure </w:t>
      </w:r>
      <w:r w:rsidRPr="002401B6" w:rsidR="00FD02B1">
        <w:rPr>
          <w:lang w:val="en-GB"/>
        </w:rPr>
        <w:t xml:space="preserve">Europeans' </w:t>
      </w:r>
      <w:r w:rsidRPr="002401B6">
        <w:rPr>
          <w:lang w:val="en-GB"/>
        </w:rPr>
        <w:t xml:space="preserve">health needs. </w:t>
      </w:r>
      <w:r w:rsidRPr="002401B6" w:rsidR="00FD02B1">
        <w:rPr>
          <w:lang w:val="en-GB"/>
        </w:rPr>
        <w:t xml:space="preserve">Communication </w:t>
      </w:r>
      <w:r w:rsidRPr="002401B6" w:rsidR="002B250F">
        <w:rPr>
          <w:lang w:val="en-GB"/>
        </w:rPr>
        <w:t xml:space="preserve">– </w:t>
      </w:r>
      <w:r w:rsidRPr="002401B6" w:rsidR="00FD02B1">
        <w:rPr>
          <w:lang w:val="en-GB"/>
        </w:rPr>
        <w:t xml:space="preserve">to make the Plan and its measures understandable and credible to European citizens </w:t>
      </w:r>
      <w:r w:rsidRPr="002401B6" w:rsidR="002B250F">
        <w:rPr>
          <w:lang w:val="en-GB"/>
        </w:rPr>
        <w:t xml:space="preserve">– will </w:t>
      </w:r>
      <w:r w:rsidRPr="002401B6" w:rsidR="00FD02B1">
        <w:rPr>
          <w:lang w:val="en-GB"/>
        </w:rPr>
        <w:t>thus play a crucial role in the success of the Plan and the achievement of its goals.</w:t>
      </w:r>
    </w:p>
    <w:p w:rsidRPr="002401B6" w:rsidR="00A42962" w:rsidP="00A42962" w:rsidRDefault="00A42962">
      <w:pPr>
        <w:rPr>
          <w:lang w:val="en-GB"/>
        </w:rPr>
      </w:pPr>
    </w:p>
    <w:p w:rsidRPr="002401B6" w:rsidR="00A42962" w:rsidP="00BB56D3" w:rsidRDefault="00FD02B1">
      <w:pPr>
        <w:pStyle w:val="Heading1"/>
        <w:keepNext/>
        <w:keepLines/>
        <w:rPr>
          <w:lang w:val="en-GB"/>
        </w:rPr>
      </w:pPr>
      <w:r w:rsidRPr="002401B6">
        <w:rPr>
          <w:b/>
          <w:lang w:val="en-GB"/>
        </w:rPr>
        <w:t>Follow-up</w:t>
      </w:r>
      <w:r w:rsidRPr="002401B6" w:rsidR="00A42962">
        <w:rPr>
          <w:b/>
          <w:lang w:val="en-GB"/>
        </w:rPr>
        <w:t xml:space="preserve"> of the strategy</w:t>
      </w:r>
    </w:p>
    <w:p w:rsidRPr="002401B6" w:rsidR="00A42962" w:rsidP="00BB56D3" w:rsidRDefault="00A42962">
      <w:pPr>
        <w:keepNext/>
        <w:keepLines/>
        <w:rPr>
          <w:lang w:val="en-GB"/>
        </w:rPr>
      </w:pPr>
    </w:p>
    <w:p w:rsidRPr="002401B6" w:rsidR="00BE6DDA" w:rsidP="00A42962" w:rsidRDefault="00A42962">
      <w:pPr>
        <w:pStyle w:val="Heading2"/>
        <w:rPr>
          <w:lang w:val="en-GB"/>
        </w:rPr>
      </w:pPr>
      <w:r w:rsidRPr="002401B6">
        <w:rPr>
          <w:lang w:val="en-GB"/>
        </w:rPr>
        <w:t xml:space="preserve">The </w:t>
      </w:r>
      <w:r w:rsidRPr="002401B6" w:rsidR="0078623B">
        <w:rPr>
          <w:lang w:val="en-GB"/>
        </w:rPr>
        <w:t>EESC</w:t>
      </w:r>
      <w:r w:rsidRPr="002401B6">
        <w:rPr>
          <w:lang w:val="en-GB"/>
        </w:rPr>
        <w:t xml:space="preserve"> underlines that many elements </w:t>
      </w:r>
      <w:r w:rsidRPr="002401B6" w:rsidR="005C5837">
        <w:rPr>
          <w:lang w:val="en-GB"/>
        </w:rPr>
        <w:t xml:space="preserve">need </w:t>
      </w:r>
      <w:r w:rsidRPr="002401B6">
        <w:rPr>
          <w:lang w:val="en-GB"/>
        </w:rPr>
        <w:t xml:space="preserve">to </w:t>
      </w:r>
      <w:r w:rsidRPr="002401B6" w:rsidR="005C5837">
        <w:rPr>
          <w:lang w:val="en-GB"/>
        </w:rPr>
        <w:t>come</w:t>
      </w:r>
      <w:r w:rsidRPr="002401B6">
        <w:rPr>
          <w:lang w:val="en-GB"/>
        </w:rPr>
        <w:t xml:space="preserve"> together to </w:t>
      </w:r>
      <w:r w:rsidRPr="002401B6" w:rsidR="005C5837">
        <w:rPr>
          <w:lang w:val="en-GB"/>
        </w:rPr>
        <w:t>dispel</w:t>
      </w:r>
      <w:r w:rsidRPr="002401B6">
        <w:rPr>
          <w:lang w:val="en-GB"/>
        </w:rPr>
        <w:t xml:space="preserve"> any doubts about the prospect of effective implementation of </w:t>
      </w:r>
      <w:r w:rsidRPr="002401B6" w:rsidR="002B250F">
        <w:rPr>
          <w:lang w:val="en-GB"/>
        </w:rPr>
        <w:t xml:space="preserve">the </w:t>
      </w:r>
      <w:r w:rsidRPr="002401B6" w:rsidR="0078623B">
        <w:rPr>
          <w:lang w:val="en-GB"/>
        </w:rPr>
        <w:t>Plan</w:t>
      </w:r>
      <w:r w:rsidRPr="002401B6">
        <w:rPr>
          <w:lang w:val="en-GB"/>
        </w:rPr>
        <w:t xml:space="preserve">. The general and non-binding nature of the Plan does not guarantee its effective implementation and a more effective and regionalised response to the increasing </w:t>
      </w:r>
      <w:r w:rsidRPr="002401B6" w:rsidR="0078623B">
        <w:rPr>
          <w:lang w:val="en-GB"/>
        </w:rPr>
        <w:t>burden</w:t>
      </w:r>
      <w:r w:rsidRPr="002401B6" w:rsidR="001D3366">
        <w:rPr>
          <w:lang w:val="en-GB"/>
        </w:rPr>
        <w:t xml:space="preserve"> of </w:t>
      </w:r>
      <w:r w:rsidRPr="002401B6">
        <w:rPr>
          <w:lang w:val="en-GB"/>
        </w:rPr>
        <w:t>cancer. Accordingly, the EESC calls for</w:t>
      </w:r>
      <w:r w:rsidRPr="002401B6" w:rsidR="00D342F0">
        <w:rPr>
          <w:lang w:val="en-GB"/>
        </w:rPr>
        <w:t xml:space="preserve"> </w:t>
      </w:r>
      <w:r w:rsidRPr="002401B6">
        <w:rPr>
          <w:lang w:val="en-GB"/>
        </w:rPr>
        <w:t xml:space="preserve">a variety of different instruments </w:t>
      </w:r>
      <w:r w:rsidRPr="002401B6" w:rsidR="002B250F">
        <w:rPr>
          <w:lang w:val="en-GB"/>
        </w:rPr>
        <w:t xml:space="preserve">to be designed </w:t>
      </w:r>
      <w:r w:rsidRPr="002401B6">
        <w:rPr>
          <w:lang w:val="en-GB"/>
        </w:rPr>
        <w:t xml:space="preserve">that will pave the way for the effective implementation of </w:t>
      </w:r>
      <w:r w:rsidRPr="002401B6" w:rsidR="002B250F">
        <w:rPr>
          <w:lang w:val="en-GB"/>
        </w:rPr>
        <w:t xml:space="preserve">the </w:t>
      </w:r>
      <w:r w:rsidRPr="002401B6" w:rsidR="0078623B">
        <w:rPr>
          <w:lang w:val="en-GB"/>
        </w:rPr>
        <w:t>Plan</w:t>
      </w:r>
      <w:r w:rsidRPr="002401B6">
        <w:rPr>
          <w:lang w:val="en-GB"/>
        </w:rPr>
        <w:t xml:space="preserve"> in line with national specificities and practices.</w:t>
      </w:r>
    </w:p>
    <w:p w:rsidRPr="002401B6" w:rsidR="00BE6DDA" w:rsidP="00674DD2" w:rsidRDefault="00BE6DDA">
      <w:pPr>
        <w:pStyle w:val="Heading2"/>
        <w:numPr>
          <w:ilvl w:val="0"/>
          <w:numId w:val="0"/>
        </w:numPr>
        <w:rPr>
          <w:lang w:val="en-GB"/>
        </w:rPr>
      </w:pPr>
    </w:p>
    <w:p w:rsidRPr="002401B6" w:rsidR="00A42962" w:rsidP="00A42962" w:rsidRDefault="00A42962">
      <w:pPr>
        <w:pStyle w:val="Heading2"/>
        <w:rPr>
          <w:lang w:val="en-GB"/>
        </w:rPr>
      </w:pPr>
      <w:r w:rsidRPr="002401B6">
        <w:rPr>
          <w:lang w:val="en-GB"/>
        </w:rPr>
        <w:t xml:space="preserve">The EESC also calls for close involvement of the </w:t>
      </w:r>
      <w:r w:rsidRPr="002401B6" w:rsidR="0078623B">
        <w:rPr>
          <w:lang w:val="en-GB"/>
        </w:rPr>
        <w:t>health technology and solutions providers, SP</w:t>
      </w:r>
      <w:r w:rsidRPr="002401B6">
        <w:rPr>
          <w:lang w:val="en-GB"/>
        </w:rPr>
        <w:t xml:space="preserve"> and </w:t>
      </w:r>
      <w:r w:rsidRPr="002401B6" w:rsidR="0078623B">
        <w:rPr>
          <w:lang w:val="en-GB"/>
        </w:rPr>
        <w:t>CSO</w:t>
      </w:r>
      <w:r w:rsidRPr="002401B6">
        <w:rPr>
          <w:lang w:val="en-GB"/>
        </w:rPr>
        <w:t xml:space="preserve"> in the further development and follow-up of </w:t>
      </w:r>
      <w:r w:rsidRPr="002401B6" w:rsidR="002C2273">
        <w:rPr>
          <w:lang w:val="en-GB"/>
        </w:rPr>
        <w:t xml:space="preserve">the </w:t>
      </w:r>
      <w:r w:rsidRPr="002401B6">
        <w:rPr>
          <w:lang w:val="en-GB"/>
        </w:rPr>
        <w:t>Plan,</w:t>
      </w:r>
      <w:r w:rsidRPr="002401B6" w:rsidR="00D342F0">
        <w:rPr>
          <w:lang w:val="en-GB"/>
        </w:rPr>
        <w:t xml:space="preserve"> </w:t>
      </w:r>
      <w:r w:rsidRPr="002401B6" w:rsidR="00BE6DDA">
        <w:rPr>
          <w:lang w:val="en-GB"/>
        </w:rPr>
        <w:t>with</w:t>
      </w:r>
      <w:r w:rsidRPr="002401B6">
        <w:rPr>
          <w:lang w:val="en-GB"/>
        </w:rPr>
        <w:t xml:space="preserve"> a wide </w:t>
      </w:r>
      <w:r w:rsidRPr="002401B6" w:rsidR="00EE5D6D">
        <w:rPr>
          <w:lang w:val="en-GB"/>
        </w:rPr>
        <w:t xml:space="preserve">all-inclusive </w:t>
      </w:r>
      <w:r w:rsidRPr="002401B6">
        <w:rPr>
          <w:lang w:val="en-GB"/>
        </w:rPr>
        <w:t>representation of different sectors.</w:t>
      </w:r>
      <w:r w:rsidRPr="002401B6" w:rsidR="00BE6DDA">
        <w:rPr>
          <w:lang w:val="en-GB"/>
        </w:rPr>
        <w:t xml:space="preserve"> This is also crucial in the preparation of corresponding national action plans.</w:t>
      </w:r>
    </w:p>
    <w:p w:rsidRPr="002401B6" w:rsidR="00A42962" w:rsidP="0015678B" w:rsidRDefault="00A42962">
      <w:pPr>
        <w:rPr>
          <w:lang w:val="en-GB"/>
        </w:rPr>
      </w:pPr>
    </w:p>
    <w:p w:rsidRPr="002401B6" w:rsidR="002A7C2D" w:rsidP="002A7C2D" w:rsidRDefault="002A7C2D">
      <w:pPr>
        <w:rPr>
          <w:lang w:val="en-GB"/>
        </w:rPr>
      </w:pPr>
      <w:r w:rsidRPr="002401B6">
        <w:rPr>
          <w:lang w:val="en-GB"/>
        </w:rPr>
        <w:t xml:space="preserve">Brussels, </w:t>
      </w:r>
      <w:r w:rsidRPr="002401B6" w:rsidR="00D460E7">
        <w:rPr>
          <w:lang w:val="en-GB"/>
        </w:rPr>
        <w:t>9 June</w:t>
      </w:r>
      <w:r w:rsidRPr="002401B6">
        <w:rPr>
          <w:lang w:val="en-GB"/>
        </w:rPr>
        <w:t xml:space="preserve"> 2021</w:t>
      </w:r>
    </w:p>
    <w:p w:rsidRPr="002401B6" w:rsidR="002A7C2D" w:rsidP="002A7C2D" w:rsidRDefault="002A7C2D">
      <w:pPr>
        <w:rPr>
          <w:lang w:val="en-GB"/>
        </w:rPr>
      </w:pPr>
    </w:p>
    <w:p w:rsidRPr="002401B6" w:rsidR="002A7C2D" w:rsidP="002A7C2D" w:rsidRDefault="002A7C2D">
      <w:pPr>
        <w:rPr>
          <w:lang w:val="en-GB"/>
        </w:rPr>
      </w:pPr>
    </w:p>
    <w:p w:rsidRPr="002401B6" w:rsidR="002A7C2D" w:rsidP="002A7C2D" w:rsidRDefault="002A7C2D">
      <w:pPr>
        <w:rPr>
          <w:lang w:val="en-GB"/>
        </w:rPr>
      </w:pPr>
    </w:p>
    <w:p w:rsidRPr="002401B6" w:rsidR="002A7C2D" w:rsidP="002A7C2D" w:rsidRDefault="002A7C2D">
      <w:pPr>
        <w:rPr>
          <w:lang w:val="en-GB"/>
        </w:rPr>
      </w:pPr>
    </w:p>
    <w:p w:rsidRPr="002401B6" w:rsidR="002A7C2D" w:rsidP="002A7C2D" w:rsidRDefault="00D460E7">
      <w:pPr>
        <w:rPr>
          <w:lang w:val="en-GB"/>
        </w:rPr>
      </w:pPr>
      <w:r w:rsidRPr="002401B6">
        <w:rPr>
          <w:lang w:val="en-GB"/>
        </w:rPr>
        <w:t>Christa Schweng</w:t>
      </w:r>
    </w:p>
    <w:p w:rsidRPr="002401B6" w:rsidR="002A7C2D" w:rsidP="002A7C2D" w:rsidRDefault="002A7C2D">
      <w:pPr>
        <w:rPr>
          <w:lang w:val="en-GB"/>
        </w:rPr>
      </w:pPr>
      <w:r w:rsidRPr="002401B6">
        <w:rPr>
          <w:lang w:val="en-GB"/>
        </w:rPr>
        <w:t xml:space="preserve">The </w:t>
      </w:r>
      <w:r w:rsidRPr="002401B6" w:rsidR="002401B6">
        <w:rPr>
          <w:lang w:val="en-GB"/>
        </w:rPr>
        <w:t>p</w:t>
      </w:r>
      <w:r w:rsidRPr="002401B6">
        <w:rPr>
          <w:lang w:val="en-GB"/>
        </w:rPr>
        <w:t xml:space="preserve">resident of the </w:t>
      </w:r>
      <w:r w:rsidRPr="002401B6" w:rsidR="00D460E7">
        <w:rPr>
          <w:lang w:val="en-GB"/>
        </w:rPr>
        <w:t>European Economic and Social Committee</w:t>
      </w:r>
    </w:p>
    <w:p w:rsidRPr="002401B6" w:rsidR="002A7C2D" w:rsidP="0015678B" w:rsidRDefault="002A7C2D">
      <w:pPr>
        <w:rPr>
          <w:lang w:val="en-GB"/>
        </w:rPr>
      </w:pPr>
    </w:p>
    <w:p w:rsidRPr="002401B6" w:rsidR="00646AC2" w:rsidP="0015678B" w:rsidRDefault="00646AC2">
      <w:pPr>
        <w:jc w:val="center"/>
        <w:rPr>
          <w:lang w:val="en-GB"/>
        </w:rPr>
      </w:pPr>
      <w:r w:rsidRPr="002401B6">
        <w:rPr>
          <w:lang w:val="en-GB"/>
        </w:rPr>
        <w:t>_____________</w:t>
      </w:r>
    </w:p>
    <w:sectPr w:rsidRPr="002401B6" w:rsidR="00646AC2" w:rsidSect="00E15A9A">
      <w:headerReference w:type="even" r:id="rId18"/>
      <w:headerReference w:type="default" r:id="rId19"/>
      <w:footerReference w:type="even" r:id="rId20"/>
      <w:footerReference w:type="default" r:id="rId21"/>
      <w:headerReference w:type="first" r:id="rId22"/>
      <w:footerReference w:type="first" r:id="rId23"/>
      <w:pgSz w:w="11907" w:h="16839" w:code="9"/>
      <w:pgMar w:top="1418" w:right="1418" w:bottom="1418"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CC7" w:rsidRDefault="003B0CC7">
      <w:r>
        <w:separator/>
      </w:r>
    </w:p>
  </w:endnote>
  <w:endnote w:type="continuationSeparator" w:id="0">
    <w:p w:rsidR="003B0CC7" w:rsidRDefault="003B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5A9A" w:rsidR="00E15A9A" w:rsidP="00E15A9A" w:rsidRDefault="00E15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5A9A" w:rsidR="00E05E2E" w:rsidP="00E15A9A" w:rsidRDefault="00E15A9A">
    <w:pPr>
      <w:pStyle w:val="Footer"/>
    </w:pPr>
    <w:r>
      <w:t xml:space="preserve">SOC/677 – EESC-2021-00995-00-00-AC-TRA (EN) </w:t>
    </w:r>
    <w:r>
      <w:fldChar w:fldCharType="begin"/>
    </w:r>
    <w:r>
      <w:instrText xml:space="preserve"> PAGE  \* Arabic  \* MERGEFORMAT </w:instrText>
    </w:r>
    <w:r>
      <w:fldChar w:fldCharType="separate"/>
    </w:r>
    <w:r w:rsidR="00804D54">
      <w:rPr>
        <w:noProof/>
      </w:rPr>
      <w:t>1</w:t>
    </w:r>
    <w:r>
      <w:fldChar w:fldCharType="end"/>
    </w:r>
    <w:r>
      <w:t>/</w:t>
    </w:r>
    <w:r>
      <w:fldChar w:fldCharType="begin"/>
    </w:r>
    <w:r>
      <w:instrText xml:space="preserve"> NUMPAGES </w:instrText>
    </w:r>
    <w:r>
      <w:fldChar w:fldCharType="separate"/>
    </w:r>
    <w:r w:rsidR="00804D5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5A9A" w:rsidR="00E15A9A" w:rsidP="00E15A9A" w:rsidRDefault="00E15A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5A9A" w:rsidR="00E05E2E" w:rsidP="00E15A9A" w:rsidRDefault="00E05E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5A9A" w:rsidR="00E05E2E" w:rsidP="00E15A9A" w:rsidRDefault="00E15A9A">
    <w:pPr>
      <w:pStyle w:val="Footer"/>
    </w:pPr>
    <w:r>
      <w:t xml:space="preserve">SOC/677 – EESC-2021-00995-00-00-AC-TRA (EN) </w:t>
    </w:r>
    <w:r>
      <w:fldChar w:fldCharType="begin"/>
    </w:r>
    <w:r>
      <w:instrText xml:space="preserve"> PAGE  \* Arabic  \* MERGEFORMAT </w:instrText>
    </w:r>
    <w:r>
      <w:fldChar w:fldCharType="separate"/>
    </w:r>
    <w:r>
      <w:rPr>
        <w:noProof/>
      </w:rPr>
      <w:t>13</w:t>
    </w:r>
    <w:r>
      <w:fldChar w:fldCharType="end"/>
    </w:r>
    <w:r>
      <w:t>/</w:t>
    </w:r>
    <w:r>
      <w:fldChar w:fldCharType="begin"/>
    </w:r>
    <w:r>
      <w:instrText xml:space="preserve"> NUMPAGES </w:instrText>
    </w:r>
    <w:r>
      <w:fldChar w:fldCharType="separate"/>
    </w:r>
    <w:r>
      <w:rPr>
        <w:noProof/>
      </w:rP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5A9A" w:rsidR="00E05E2E" w:rsidP="00E15A9A" w:rsidRDefault="00E05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CC7" w:rsidRDefault="003B0CC7">
      <w:r>
        <w:separator/>
      </w:r>
    </w:p>
  </w:footnote>
  <w:footnote w:type="continuationSeparator" w:id="0">
    <w:p w:rsidR="003B0CC7" w:rsidRDefault="003B0CC7">
      <w:r>
        <w:continuationSeparator/>
      </w:r>
    </w:p>
  </w:footnote>
  <w:footnote w:id="1">
    <w:p w:rsidRPr="00A066F7" w:rsidR="00AE5313" w:rsidP="00AE5313" w:rsidRDefault="00AE5313">
      <w:pPr>
        <w:pStyle w:val="FootnoteText"/>
      </w:pPr>
      <w:r>
        <w:rPr>
          <w:rStyle w:val="FootnoteReference"/>
        </w:rPr>
        <w:footnoteRef/>
      </w:r>
      <w:r>
        <w:tab/>
      </w:r>
      <w:hyperlink w:history="1" r:id="rId1">
        <w:r w:rsidRPr="00A066F7">
          <w:rPr>
            <w:rStyle w:val="Hyperlink"/>
          </w:rPr>
          <w:t>Report on the application of Directive 2014/40/EU</w:t>
        </w:r>
      </w:hyperlink>
      <w:r w:rsidR="00781690">
        <w:t>.</w:t>
      </w:r>
    </w:p>
  </w:footnote>
  <w:footnote w:id="2">
    <w:p w:rsidR="00E05E2E" w:rsidP="00B5257C" w:rsidRDefault="00E05E2E">
      <w:pPr>
        <w:keepLines/>
        <w:spacing w:after="60" w:line="240" w:lineRule="auto"/>
        <w:ind w:left="567" w:hanging="567"/>
        <w:rPr>
          <w:color w:val="000000"/>
          <w:sz w:val="16"/>
          <w:szCs w:val="16"/>
        </w:rPr>
      </w:pPr>
      <w:r>
        <w:rPr>
          <w:rStyle w:val="FootnoteReference"/>
        </w:rPr>
        <w:footnoteRef/>
      </w:r>
      <w:r w:rsidR="00B5257C">
        <w:rPr>
          <w:color w:val="000000"/>
          <w:sz w:val="16"/>
          <w:szCs w:val="16"/>
        </w:rPr>
        <w:tab/>
      </w:r>
      <w:r>
        <w:rPr>
          <w:color w:val="000000"/>
          <w:sz w:val="16"/>
          <w:szCs w:val="16"/>
        </w:rPr>
        <w:t xml:space="preserve">A very important aspect is to maintain efforts to abandon the use of dangerous asbestos – See EESC opinions </w:t>
      </w:r>
      <w:hyperlink w:history="1" r:id="rId2">
        <w:r w:rsidRPr="002C2273">
          <w:rPr>
            <w:rStyle w:val="Hyperlink"/>
            <w:sz w:val="16"/>
            <w:szCs w:val="16"/>
          </w:rPr>
          <w:t>CCMI/130</w:t>
        </w:r>
      </w:hyperlink>
      <w:r>
        <w:rPr>
          <w:color w:val="000000"/>
          <w:sz w:val="16"/>
          <w:szCs w:val="16"/>
        </w:rPr>
        <w:t xml:space="preserve"> and </w:t>
      </w:r>
      <w:hyperlink w:history="1" r:id="rId3">
        <w:r w:rsidR="00B5257C">
          <w:rPr>
            <w:rStyle w:val="Hyperlink"/>
            <w:sz w:val="16"/>
            <w:szCs w:val="16"/>
          </w:rPr>
          <w:t>OJ C 288, 31.8.2017, p. 56</w:t>
        </w:r>
      </w:hyperlink>
      <w:r>
        <w:rPr>
          <w:color w:val="000000"/>
          <w:sz w:val="16"/>
          <w:szCs w:val="16"/>
        </w:rPr>
        <w:t>.</w:t>
      </w:r>
    </w:p>
  </w:footnote>
  <w:footnote w:id="3">
    <w:p w:rsidRPr="0020155B" w:rsidR="00E05E2E" w:rsidP="0020155B" w:rsidRDefault="00E05E2E">
      <w:pPr>
        <w:pStyle w:val="FootnoteText"/>
        <w:rPr>
          <w:szCs w:val="16"/>
        </w:rPr>
      </w:pPr>
      <w:r w:rsidRPr="0020155B">
        <w:rPr>
          <w:rStyle w:val="FootnoteReference"/>
          <w:szCs w:val="24"/>
        </w:rPr>
        <w:footnoteRef/>
      </w:r>
      <w:r>
        <w:rPr>
          <w:color w:val="000000" w:themeColor="text1"/>
          <w:sz w:val="20"/>
          <w:szCs w:val="20"/>
        </w:rPr>
        <w:tab/>
      </w:r>
      <w:r w:rsidRPr="0020155B">
        <w:rPr>
          <w:color w:val="000000" w:themeColor="text1"/>
          <w:szCs w:val="16"/>
        </w:rPr>
        <w:t>Institute for Health Metrics Evaluation GBD results 2016</w:t>
      </w:r>
      <w:r>
        <w:rPr>
          <w:color w:val="000000" w:themeColor="text1"/>
          <w:szCs w:val="16"/>
        </w:rPr>
        <w:t>.</w:t>
      </w:r>
    </w:p>
  </w:footnote>
  <w:footnote w:id="4">
    <w:p w:rsidRPr="00A066F7" w:rsidR="00AE5313" w:rsidP="00AE5313" w:rsidRDefault="00AE5313">
      <w:pPr>
        <w:pStyle w:val="FootnoteText"/>
      </w:pPr>
      <w:r>
        <w:rPr>
          <w:rStyle w:val="FootnoteReference"/>
        </w:rPr>
        <w:footnoteRef/>
      </w:r>
      <w:r>
        <w:t xml:space="preserve"> </w:t>
      </w:r>
      <w:r>
        <w:tab/>
      </w:r>
      <w:hyperlink w:history="1" r:id="rId4">
        <w:r w:rsidRPr="00A066F7">
          <w:rPr>
            <w:rStyle w:val="Hyperlink"/>
          </w:rPr>
          <w:t>Report on the application of Directive 2014/40/EU</w:t>
        </w:r>
      </w:hyperlink>
      <w:r w:rsidR="002401B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5A9A" w:rsidR="00E15A9A" w:rsidP="00E15A9A" w:rsidRDefault="00E15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5A9A" w:rsidR="00E15A9A" w:rsidP="00E15A9A" w:rsidRDefault="00E15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5A9A" w:rsidR="00E15A9A" w:rsidP="00E15A9A" w:rsidRDefault="00E15A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5A9A" w:rsidR="00E05E2E" w:rsidP="00E15A9A" w:rsidRDefault="00E05E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5A9A" w:rsidR="00E05E2E" w:rsidP="00E15A9A" w:rsidRDefault="00E05E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5A9A" w:rsidR="00E05E2E" w:rsidP="00E15A9A" w:rsidRDefault="00E05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900BC0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83C5D20"/>
    <w:multiLevelType w:val="hybridMultilevel"/>
    <w:tmpl w:val="9D74FA6C"/>
    <w:lvl w:ilvl="0" w:tplc="9BBCF68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DD33016"/>
    <w:multiLevelType w:val="multilevel"/>
    <w:tmpl w:val="E3E6A8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022722"/>
    <w:multiLevelType w:val="multilevel"/>
    <w:tmpl w:val="FD5E82D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8523357"/>
    <w:multiLevelType w:val="hybridMultilevel"/>
    <w:tmpl w:val="9314DE3A"/>
    <w:lvl w:ilvl="0" w:tplc="A8461C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32FA2"/>
    <w:multiLevelType w:val="hybridMultilevel"/>
    <w:tmpl w:val="E7A8D264"/>
    <w:lvl w:ilvl="0" w:tplc="A8461C2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CF631E5"/>
    <w:multiLevelType w:val="hybridMultilevel"/>
    <w:tmpl w:val="5AF49CAC"/>
    <w:lvl w:ilvl="0" w:tplc="A8461C24">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670153C4"/>
    <w:multiLevelType w:val="hybridMultilevel"/>
    <w:tmpl w:val="89980C1C"/>
    <w:lvl w:ilvl="0" w:tplc="11949AD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2"/>
  </w:num>
  <w:num w:numId="66">
    <w:abstractNumId w:val="0"/>
  </w:num>
  <w:num w:numId="67">
    <w:abstractNumId w:val="0"/>
  </w:num>
  <w:num w:numId="68">
    <w:abstractNumId w:val="0"/>
  </w:num>
  <w:num w:numId="69">
    <w:abstractNumId w:val="0"/>
  </w:num>
  <w:num w:numId="70">
    <w:abstractNumId w:val="0"/>
  </w:num>
  <w:num w:numId="71">
    <w:abstractNumId w:val="8"/>
  </w:num>
  <w:num w:numId="72">
    <w:abstractNumId w:val="4"/>
  </w:num>
  <w:num w:numId="73">
    <w:abstractNumId w:val="3"/>
  </w:num>
  <w:num w:numId="74">
    <w:abstractNumId w:val="6"/>
  </w:num>
  <w:num w:numId="75">
    <w:abstractNumId w:val="5"/>
  </w:num>
  <w:num w:numId="76">
    <w:abstractNumId w:val="7"/>
  </w:num>
  <w:num w:numId="77">
    <w:abstractNumId w:val="9"/>
  </w:num>
  <w:num w:numId="78">
    <w:abstractNumId w:val="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lang="nl-BE" w:vendorID="64" w:dllVersion="6" w:nlCheck="1" w:checkStyle="0" w:appName="MSWord"/>
  <w:activeWritingStyle w:lang="en-GB" w:vendorID="64" w:dllVersion="6" w:nlCheck="1" w:checkStyle="1" w:appName="MSWord"/>
  <w:activeWritingStyle w:lang="en-GB" w:vendorID="64" w:dllVersion="131078" w:nlCheck="1" w:checkStyle="0" w:appName="MSWord"/>
  <w:activeWritingStyle w:lang="nl-BE" w:vendorID="64" w:dllVersion="131078" w:nlCheck="1" w:checkStyle="0" w:appName="MSWord"/>
  <w:activeWritingStyle w:lang="en-US" w:vendorID="64" w:dllVersion="131078" w:nlCheck="1" w:checkStyle="0" w:appName="MSWord"/>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4E14"/>
    <w:rsid w:val="00005AB9"/>
    <w:rsid w:val="00005EB9"/>
    <w:rsid w:val="0000631C"/>
    <w:rsid w:val="00006E24"/>
    <w:rsid w:val="00007A40"/>
    <w:rsid w:val="00011D33"/>
    <w:rsid w:val="00020E6E"/>
    <w:rsid w:val="00031A4B"/>
    <w:rsid w:val="00033913"/>
    <w:rsid w:val="00033E5B"/>
    <w:rsid w:val="000357A8"/>
    <w:rsid w:val="000430A6"/>
    <w:rsid w:val="00043847"/>
    <w:rsid w:val="00044923"/>
    <w:rsid w:val="00046338"/>
    <w:rsid w:val="0005249C"/>
    <w:rsid w:val="000534A5"/>
    <w:rsid w:val="00054A80"/>
    <w:rsid w:val="00055856"/>
    <w:rsid w:val="0005680D"/>
    <w:rsid w:val="00063FB4"/>
    <w:rsid w:val="00065640"/>
    <w:rsid w:val="0006793E"/>
    <w:rsid w:val="000729C9"/>
    <w:rsid w:val="00072E0F"/>
    <w:rsid w:val="000735E5"/>
    <w:rsid w:val="0007392F"/>
    <w:rsid w:val="00081BBD"/>
    <w:rsid w:val="00087B39"/>
    <w:rsid w:val="00093647"/>
    <w:rsid w:val="00096502"/>
    <w:rsid w:val="000A49BB"/>
    <w:rsid w:val="000C3441"/>
    <w:rsid w:val="000C7F53"/>
    <w:rsid w:val="000D2F8E"/>
    <w:rsid w:val="000D629A"/>
    <w:rsid w:val="000F196B"/>
    <w:rsid w:val="00105361"/>
    <w:rsid w:val="001101F8"/>
    <w:rsid w:val="0011206F"/>
    <w:rsid w:val="0011656A"/>
    <w:rsid w:val="0012220C"/>
    <w:rsid w:val="00123070"/>
    <w:rsid w:val="00125485"/>
    <w:rsid w:val="00136EA3"/>
    <w:rsid w:val="00137575"/>
    <w:rsid w:val="00137B81"/>
    <w:rsid w:val="00144231"/>
    <w:rsid w:val="00150434"/>
    <w:rsid w:val="00152436"/>
    <w:rsid w:val="00155721"/>
    <w:rsid w:val="0015678B"/>
    <w:rsid w:val="0016503F"/>
    <w:rsid w:val="0016674F"/>
    <w:rsid w:val="00167CA0"/>
    <w:rsid w:val="0017120D"/>
    <w:rsid w:val="001714F6"/>
    <w:rsid w:val="00176168"/>
    <w:rsid w:val="00177158"/>
    <w:rsid w:val="001808A5"/>
    <w:rsid w:val="00184FD4"/>
    <w:rsid w:val="00186B04"/>
    <w:rsid w:val="00186F1E"/>
    <w:rsid w:val="00190836"/>
    <w:rsid w:val="00193930"/>
    <w:rsid w:val="001963A5"/>
    <w:rsid w:val="00196F1E"/>
    <w:rsid w:val="00197FCA"/>
    <w:rsid w:val="001A05B8"/>
    <w:rsid w:val="001A27DB"/>
    <w:rsid w:val="001A4714"/>
    <w:rsid w:val="001A6852"/>
    <w:rsid w:val="001B286A"/>
    <w:rsid w:val="001B2D02"/>
    <w:rsid w:val="001B3647"/>
    <w:rsid w:val="001B77FA"/>
    <w:rsid w:val="001C0ABE"/>
    <w:rsid w:val="001C5852"/>
    <w:rsid w:val="001D3366"/>
    <w:rsid w:val="001D45F0"/>
    <w:rsid w:val="001D58FD"/>
    <w:rsid w:val="001D59A7"/>
    <w:rsid w:val="001E1AD5"/>
    <w:rsid w:val="001E3F37"/>
    <w:rsid w:val="001E4A33"/>
    <w:rsid w:val="001E5C27"/>
    <w:rsid w:val="001E7381"/>
    <w:rsid w:val="001F602B"/>
    <w:rsid w:val="001F6AC8"/>
    <w:rsid w:val="0020155B"/>
    <w:rsid w:val="00201A03"/>
    <w:rsid w:val="002037D5"/>
    <w:rsid w:val="00205A0D"/>
    <w:rsid w:val="00206F90"/>
    <w:rsid w:val="002074C7"/>
    <w:rsid w:val="00210FF7"/>
    <w:rsid w:val="00212B03"/>
    <w:rsid w:val="002131A6"/>
    <w:rsid w:val="002131AE"/>
    <w:rsid w:val="00215C10"/>
    <w:rsid w:val="00215C2D"/>
    <w:rsid w:val="002252C4"/>
    <w:rsid w:val="0023183E"/>
    <w:rsid w:val="002330A5"/>
    <w:rsid w:val="00235138"/>
    <w:rsid w:val="0023713A"/>
    <w:rsid w:val="002401B6"/>
    <w:rsid w:val="00243E36"/>
    <w:rsid w:val="002444F7"/>
    <w:rsid w:val="002445E0"/>
    <w:rsid w:val="0024540B"/>
    <w:rsid w:val="00245EF4"/>
    <w:rsid w:val="00250E11"/>
    <w:rsid w:val="00251383"/>
    <w:rsid w:val="002518E2"/>
    <w:rsid w:val="002522C9"/>
    <w:rsid w:val="0025287A"/>
    <w:rsid w:val="00252A21"/>
    <w:rsid w:val="00253E4F"/>
    <w:rsid w:val="002542E4"/>
    <w:rsid w:val="00261053"/>
    <w:rsid w:val="00262FDE"/>
    <w:rsid w:val="00263629"/>
    <w:rsid w:val="0027555D"/>
    <w:rsid w:val="00275CBF"/>
    <w:rsid w:val="002769BD"/>
    <w:rsid w:val="00276A75"/>
    <w:rsid w:val="002809EA"/>
    <w:rsid w:val="00284962"/>
    <w:rsid w:val="00284FF8"/>
    <w:rsid w:val="00285323"/>
    <w:rsid w:val="00287B0E"/>
    <w:rsid w:val="002A0A25"/>
    <w:rsid w:val="002A0B53"/>
    <w:rsid w:val="002A0EEF"/>
    <w:rsid w:val="002A3106"/>
    <w:rsid w:val="002A76F9"/>
    <w:rsid w:val="002A7C2D"/>
    <w:rsid w:val="002B22FD"/>
    <w:rsid w:val="002B250F"/>
    <w:rsid w:val="002B2DF7"/>
    <w:rsid w:val="002C11CF"/>
    <w:rsid w:val="002C1DB1"/>
    <w:rsid w:val="002C1DB5"/>
    <w:rsid w:val="002C2273"/>
    <w:rsid w:val="002C3BF4"/>
    <w:rsid w:val="002C4D10"/>
    <w:rsid w:val="002C749F"/>
    <w:rsid w:val="002C74CF"/>
    <w:rsid w:val="002D03F6"/>
    <w:rsid w:val="002D14EC"/>
    <w:rsid w:val="002D4EF4"/>
    <w:rsid w:val="002E7B33"/>
    <w:rsid w:val="002F059B"/>
    <w:rsid w:val="002F2667"/>
    <w:rsid w:val="002F5B0B"/>
    <w:rsid w:val="00300924"/>
    <w:rsid w:val="0030596E"/>
    <w:rsid w:val="003073C3"/>
    <w:rsid w:val="003155B1"/>
    <w:rsid w:val="00323637"/>
    <w:rsid w:val="00324E8A"/>
    <w:rsid w:val="00331D87"/>
    <w:rsid w:val="00332850"/>
    <w:rsid w:val="00332CEE"/>
    <w:rsid w:val="00334478"/>
    <w:rsid w:val="003346B4"/>
    <w:rsid w:val="00334AE6"/>
    <w:rsid w:val="003365D0"/>
    <w:rsid w:val="003439AB"/>
    <w:rsid w:val="00344639"/>
    <w:rsid w:val="00345BF4"/>
    <w:rsid w:val="0035034C"/>
    <w:rsid w:val="00354695"/>
    <w:rsid w:val="0035549B"/>
    <w:rsid w:val="003755C8"/>
    <w:rsid w:val="00375687"/>
    <w:rsid w:val="00380AE0"/>
    <w:rsid w:val="00383324"/>
    <w:rsid w:val="00387A75"/>
    <w:rsid w:val="003904FD"/>
    <w:rsid w:val="00394254"/>
    <w:rsid w:val="003A1F2D"/>
    <w:rsid w:val="003B0CC7"/>
    <w:rsid w:val="003C235D"/>
    <w:rsid w:val="003C2BFB"/>
    <w:rsid w:val="003C436B"/>
    <w:rsid w:val="003C5337"/>
    <w:rsid w:val="003C5F92"/>
    <w:rsid w:val="003D7A8C"/>
    <w:rsid w:val="003D7C00"/>
    <w:rsid w:val="003E1E86"/>
    <w:rsid w:val="003E3330"/>
    <w:rsid w:val="003E56E5"/>
    <w:rsid w:val="003E5C89"/>
    <w:rsid w:val="003E7E60"/>
    <w:rsid w:val="003F00D4"/>
    <w:rsid w:val="003F2209"/>
    <w:rsid w:val="003F26C2"/>
    <w:rsid w:val="003F26ED"/>
    <w:rsid w:val="003F3D39"/>
    <w:rsid w:val="003F646A"/>
    <w:rsid w:val="003F6761"/>
    <w:rsid w:val="003F6A0A"/>
    <w:rsid w:val="004024F5"/>
    <w:rsid w:val="00402DE1"/>
    <w:rsid w:val="00403D8B"/>
    <w:rsid w:val="004058F1"/>
    <w:rsid w:val="00407E7D"/>
    <w:rsid w:val="0041283D"/>
    <w:rsid w:val="00413AB4"/>
    <w:rsid w:val="00417F2E"/>
    <w:rsid w:val="00421373"/>
    <w:rsid w:val="00421FB7"/>
    <w:rsid w:val="0042763B"/>
    <w:rsid w:val="0043024C"/>
    <w:rsid w:val="0043441C"/>
    <w:rsid w:val="00436706"/>
    <w:rsid w:val="00443D38"/>
    <w:rsid w:val="00444FEE"/>
    <w:rsid w:val="0044643D"/>
    <w:rsid w:val="00450E7A"/>
    <w:rsid w:val="00452BFA"/>
    <w:rsid w:val="004559F5"/>
    <w:rsid w:val="00456AF8"/>
    <w:rsid w:val="00465BE6"/>
    <w:rsid w:val="00470B15"/>
    <w:rsid w:val="00470BFB"/>
    <w:rsid w:val="00475869"/>
    <w:rsid w:val="00475A77"/>
    <w:rsid w:val="004856A0"/>
    <w:rsid w:val="004866A9"/>
    <w:rsid w:val="00492774"/>
    <w:rsid w:val="00494E34"/>
    <w:rsid w:val="00496D7A"/>
    <w:rsid w:val="00497406"/>
    <w:rsid w:val="004A31BC"/>
    <w:rsid w:val="004A3F1A"/>
    <w:rsid w:val="004A3F45"/>
    <w:rsid w:val="004A5738"/>
    <w:rsid w:val="004B1AFA"/>
    <w:rsid w:val="004B7088"/>
    <w:rsid w:val="004C4D12"/>
    <w:rsid w:val="004C5B76"/>
    <w:rsid w:val="004C733D"/>
    <w:rsid w:val="004D02CD"/>
    <w:rsid w:val="004D03D2"/>
    <w:rsid w:val="004D0B24"/>
    <w:rsid w:val="004D4798"/>
    <w:rsid w:val="004D4B90"/>
    <w:rsid w:val="004D6B95"/>
    <w:rsid w:val="004D7F41"/>
    <w:rsid w:val="004E03A2"/>
    <w:rsid w:val="004E2DF7"/>
    <w:rsid w:val="004E317E"/>
    <w:rsid w:val="004E31E8"/>
    <w:rsid w:val="004E3954"/>
    <w:rsid w:val="004E5856"/>
    <w:rsid w:val="004F2330"/>
    <w:rsid w:val="004F53C6"/>
    <w:rsid w:val="004F55C6"/>
    <w:rsid w:val="004F69DB"/>
    <w:rsid w:val="004F6B87"/>
    <w:rsid w:val="00501C2D"/>
    <w:rsid w:val="00502637"/>
    <w:rsid w:val="00507CF1"/>
    <w:rsid w:val="00511140"/>
    <w:rsid w:val="005136AD"/>
    <w:rsid w:val="00513CFE"/>
    <w:rsid w:val="005227E3"/>
    <w:rsid w:val="00523686"/>
    <w:rsid w:val="00523B6A"/>
    <w:rsid w:val="00525F6C"/>
    <w:rsid w:val="00526D80"/>
    <w:rsid w:val="00543661"/>
    <w:rsid w:val="00546AB4"/>
    <w:rsid w:val="00547C6F"/>
    <w:rsid w:val="005514E5"/>
    <w:rsid w:val="00563B1D"/>
    <w:rsid w:val="00563C84"/>
    <w:rsid w:val="005762F6"/>
    <w:rsid w:val="005847D8"/>
    <w:rsid w:val="00584FBE"/>
    <w:rsid w:val="00585483"/>
    <w:rsid w:val="00587378"/>
    <w:rsid w:val="00587C05"/>
    <w:rsid w:val="00590AAB"/>
    <w:rsid w:val="005938C3"/>
    <w:rsid w:val="0059468C"/>
    <w:rsid w:val="00595125"/>
    <w:rsid w:val="00596F21"/>
    <w:rsid w:val="005B1CDD"/>
    <w:rsid w:val="005B1E19"/>
    <w:rsid w:val="005B55FC"/>
    <w:rsid w:val="005C2D5E"/>
    <w:rsid w:val="005C3B81"/>
    <w:rsid w:val="005C5837"/>
    <w:rsid w:val="005C650C"/>
    <w:rsid w:val="005D086C"/>
    <w:rsid w:val="005D11D3"/>
    <w:rsid w:val="005D4E1F"/>
    <w:rsid w:val="005D4FB3"/>
    <w:rsid w:val="005E2F07"/>
    <w:rsid w:val="005E2FEA"/>
    <w:rsid w:val="005F314B"/>
    <w:rsid w:val="00611AF2"/>
    <w:rsid w:val="00611FC9"/>
    <w:rsid w:val="0061212B"/>
    <w:rsid w:val="006127AF"/>
    <w:rsid w:val="00613A98"/>
    <w:rsid w:val="00615FB2"/>
    <w:rsid w:val="00617BD1"/>
    <w:rsid w:val="00617CE8"/>
    <w:rsid w:val="00620B54"/>
    <w:rsid w:val="006278A0"/>
    <w:rsid w:val="0063095F"/>
    <w:rsid w:val="00631CBD"/>
    <w:rsid w:val="00635023"/>
    <w:rsid w:val="0063704F"/>
    <w:rsid w:val="00646AC2"/>
    <w:rsid w:val="00650390"/>
    <w:rsid w:val="00654DAB"/>
    <w:rsid w:val="006579DF"/>
    <w:rsid w:val="0066204A"/>
    <w:rsid w:val="00670E3C"/>
    <w:rsid w:val="00674771"/>
    <w:rsid w:val="00674DD2"/>
    <w:rsid w:val="006771E5"/>
    <w:rsid w:val="00677F57"/>
    <w:rsid w:val="00681088"/>
    <w:rsid w:val="00684829"/>
    <w:rsid w:val="0069577E"/>
    <w:rsid w:val="00695797"/>
    <w:rsid w:val="0069634B"/>
    <w:rsid w:val="00696623"/>
    <w:rsid w:val="006A04E9"/>
    <w:rsid w:val="006A4A03"/>
    <w:rsid w:val="006A6C88"/>
    <w:rsid w:val="006A7543"/>
    <w:rsid w:val="006B45A4"/>
    <w:rsid w:val="006B725C"/>
    <w:rsid w:val="006C1257"/>
    <w:rsid w:val="006C1A29"/>
    <w:rsid w:val="006C273D"/>
    <w:rsid w:val="006C5C4F"/>
    <w:rsid w:val="006C6282"/>
    <w:rsid w:val="006C762A"/>
    <w:rsid w:val="006D5FF9"/>
    <w:rsid w:val="006D68F0"/>
    <w:rsid w:val="006E0772"/>
    <w:rsid w:val="006E0F86"/>
    <w:rsid w:val="006E461F"/>
    <w:rsid w:val="006F0B15"/>
    <w:rsid w:val="006F0DCC"/>
    <w:rsid w:val="006F5E34"/>
    <w:rsid w:val="00703DF9"/>
    <w:rsid w:val="007048EB"/>
    <w:rsid w:val="00704FBB"/>
    <w:rsid w:val="0070726A"/>
    <w:rsid w:val="0071226B"/>
    <w:rsid w:val="007143F2"/>
    <w:rsid w:val="00717040"/>
    <w:rsid w:val="00732441"/>
    <w:rsid w:val="00744934"/>
    <w:rsid w:val="007622A7"/>
    <w:rsid w:val="007750A2"/>
    <w:rsid w:val="00781690"/>
    <w:rsid w:val="007817D6"/>
    <w:rsid w:val="00781E1C"/>
    <w:rsid w:val="0078623B"/>
    <w:rsid w:val="00787912"/>
    <w:rsid w:val="00790234"/>
    <w:rsid w:val="0079177A"/>
    <w:rsid w:val="00794836"/>
    <w:rsid w:val="007948D5"/>
    <w:rsid w:val="007A0649"/>
    <w:rsid w:val="007A15C9"/>
    <w:rsid w:val="007A6676"/>
    <w:rsid w:val="007A6FA3"/>
    <w:rsid w:val="007B5D61"/>
    <w:rsid w:val="007B7FF5"/>
    <w:rsid w:val="007C3FC6"/>
    <w:rsid w:val="007C5D5D"/>
    <w:rsid w:val="007D2CE9"/>
    <w:rsid w:val="007D4FED"/>
    <w:rsid w:val="007D69DA"/>
    <w:rsid w:val="007D70B1"/>
    <w:rsid w:val="007D7140"/>
    <w:rsid w:val="007E188A"/>
    <w:rsid w:val="007E1CDB"/>
    <w:rsid w:val="007E408C"/>
    <w:rsid w:val="007E4736"/>
    <w:rsid w:val="007E50BF"/>
    <w:rsid w:val="007E7E21"/>
    <w:rsid w:val="007F0460"/>
    <w:rsid w:val="007F0DA2"/>
    <w:rsid w:val="007F0F68"/>
    <w:rsid w:val="007F39CE"/>
    <w:rsid w:val="007F5E0D"/>
    <w:rsid w:val="00801085"/>
    <w:rsid w:val="00801A89"/>
    <w:rsid w:val="00804457"/>
    <w:rsid w:val="00804D54"/>
    <w:rsid w:val="00810704"/>
    <w:rsid w:val="00812138"/>
    <w:rsid w:val="0081361B"/>
    <w:rsid w:val="00813F83"/>
    <w:rsid w:val="00814580"/>
    <w:rsid w:val="00814BA4"/>
    <w:rsid w:val="008151F2"/>
    <w:rsid w:val="0081777A"/>
    <w:rsid w:val="008210E0"/>
    <w:rsid w:val="00824079"/>
    <w:rsid w:val="00831F0A"/>
    <w:rsid w:val="00833A78"/>
    <w:rsid w:val="00835804"/>
    <w:rsid w:val="0084585F"/>
    <w:rsid w:val="00853E53"/>
    <w:rsid w:val="0085535C"/>
    <w:rsid w:val="008556D0"/>
    <w:rsid w:val="008575F7"/>
    <w:rsid w:val="0086053D"/>
    <w:rsid w:val="00863A4F"/>
    <w:rsid w:val="00864D76"/>
    <w:rsid w:val="008656C9"/>
    <w:rsid w:val="0086711C"/>
    <w:rsid w:val="00867535"/>
    <w:rsid w:val="00872994"/>
    <w:rsid w:val="00874ACD"/>
    <w:rsid w:val="00875C5B"/>
    <w:rsid w:val="00880766"/>
    <w:rsid w:val="00883C5F"/>
    <w:rsid w:val="00891C7D"/>
    <w:rsid w:val="00892FA7"/>
    <w:rsid w:val="008A3301"/>
    <w:rsid w:val="008A4DF1"/>
    <w:rsid w:val="008A5636"/>
    <w:rsid w:val="008B125E"/>
    <w:rsid w:val="008B241C"/>
    <w:rsid w:val="008B408B"/>
    <w:rsid w:val="008B4F11"/>
    <w:rsid w:val="008C2362"/>
    <w:rsid w:val="008C3049"/>
    <w:rsid w:val="008C74D9"/>
    <w:rsid w:val="008D4AE9"/>
    <w:rsid w:val="008D5CF3"/>
    <w:rsid w:val="008D7D39"/>
    <w:rsid w:val="008E4574"/>
    <w:rsid w:val="008F377E"/>
    <w:rsid w:val="008F4016"/>
    <w:rsid w:val="008F42FE"/>
    <w:rsid w:val="008F4A00"/>
    <w:rsid w:val="008F5402"/>
    <w:rsid w:val="0090053A"/>
    <w:rsid w:val="00901C2A"/>
    <w:rsid w:val="00906C20"/>
    <w:rsid w:val="009118C7"/>
    <w:rsid w:val="009225B6"/>
    <w:rsid w:val="00925397"/>
    <w:rsid w:val="00933A21"/>
    <w:rsid w:val="00934C10"/>
    <w:rsid w:val="0093662A"/>
    <w:rsid w:val="0094060C"/>
    <w:rsid w:val="00942C4B"/>
    <w:rsid w:val="00944196"/>
    <w:rsid w:val="00950364"/>
    <w:rsid w:val="00951756"/>
    <w:rsid w:val="009528E4"/>
    <w:rsid w:val="009606A5"/>
    <w:rsid w:val="00961C8B"/>
    <w:rsid w:val="00962F1F"/>
    <w:rsid w:val="0096470F"/>
    <w:rsid w:val="00965304"/>
    <w:rsid w:val="00971293"/>
    <w:rsid w:val="00973A3B"/>
    <w:rsid w:val="00983EAE"/>
    <w:rsid w:val="0098760B"/>
    <w:rsid w:val="009A0F95"/>
    <w:rsid w:val="009A11DD"/>
    <w:rsid w:val="009B30AA"/>
    <w:rsid w:val="009B5217"/>
    <w:rsid w:val="009C48DE"/>
    <w:rsid w:val="009C7FF0"/>
    <w:rsid w:val="009D60D9"/>
    <w:rsid w:val="009E1E1E"/>
    <w:rsid w:val="009E33E3"/>
    <w:rsid w:val="009E7F16"/>
    <w:rsid w:val="009E7FD6"/>
    <w:rsid w:val="009F1E65"/>
    <w:rsid w:val="009F5052"/>
    <w:rsid w:val="00A03083"/>
    <w:rsid w:val="00A04C85"/>
    <w:rsid w:val="00A100F0"/>
    <w:rsid w:val="00A156E6"/>
    <w:rsid w:val="00A177C5"/>
    <w:rsid w:val="00A27D86"/>
    <w:rsid w:val="00A30A3D"/>
    <w:rsid w:val="00A33151"/>
    <w:rsid w:val="00A36970"/>
    <w:rsid w:val="00A41EB4"/>
    <w:rsid w:val="00A42962"/>
    <w:rsid w:val="00A44BFF"/>
    <w:rsid w:val="00A469C0"/>
    <w:rsid w:val="00A501E3"/>
    <w:rsid w:val="00A50F0C"/>
    <w:rsid w:val="00A56441"/>
    <w:rsid w:val="00A64B45"/>
    <w:rsid w:val="00A72D92"/>
    <w:rsid w:val="00A736DD"/>
    <w:rsid w:val="00A82869"/>
    <w:rsid w:val="00A8758C"/>
    <w:rsid w:val="00AA127E"/>
    <w:rsid w:val="00AA19AE"/>
    <w:rsid w:val="00AA423D"/>
    <w:rsid w:val="00AA6A95"/>
    <w:rsid w:val="00AB10DE"/>
    <w:rsid w:val="00AB3668"/>
    <w:rsid w:val="00AB5ED7"/>
    <w:rsid w:val="00AC0B4C"/>
    <w:rsid w:val="00AD0AEE"/>
    <w:rsid w:val="00AD49E3"/>
    <w:rsid w:val="00AD4B4F"/>
    <w:rsid w:val="00AD6EDE"/>
    <w:rsid w:val="00AE5313"/>
    <w:rsid w:val="00AF0616"/>
    <w:rsid w:val="00AF0E28"/>
    <w:rsid w:val="00AF3611"/>
    <w:rsid w:val="00AF63EF"/>
    <w:rsid w:val="00AF6F9B"/>
    <w:rsid w:val="00B01409"/>
    <w:rsid w:val="00B041E2"/>
    <w:rsid w:val="00B053C2"/>
    <w:rsid w:val="00B0563B"/>
    <w:rsid w:val="00B10DBD"/>
    <w:rsid w:val="00B15629"/>
    <w:rsid w:val="00B2372C"/>
    <w:rsid w:val="00B260A3"/>
    <w:rsid w:val="00B32F70"/>
    <w:rsid w:val="00B373D0"/>
    <w:rsid w:val="00B42AB5"/>
    <w:rsid w:val="00B43AAA"/>
    <w:rsid w:val="00B5257C"/>
    <w:rsid w:val="00B53139"/>
    <w:rsid w:val="00B562CE"/>
    <w:rsid w:val="00B62DE2"/>
    <w:rsid w:val="00B72C62"/>
    <w:rsid w:val="00B736E1"/>
    <w:rsid w:val="00B74417"/>
    <w:rsid w:val="00B77246"/>
    <w:rsid w:val="00B866CD"/>
    <w:rsid w:val="00B93034"/>
    <w:rsid w:val="00B93A81"/>
    <w:rsid w:val="00B93BBB"/>
    <w:rsid w:val="00B97C5D"/>
    <w:rsid w:val="00BA1290"/>
    <w:rsid w:val="00BB2792"/>
    <w:rsid w:val="00BB56D3"/>
    <w:rsid w:val="00BB76BF"/>
    <w:rsid w:val="00BC1AD1"/>
    <w:rsid w:val="00BC1D82"/>
    <w:rsid w:val="00BC2FCD"/>
    <w:rsid w:val="00BC3942"/>
    <w:rsid w:val="00BC4A58"/>
    <w:rsid w:val="00BC613B"/>
    <w:rsid w:val="00BD51D9"/>
    <w:rsid w:val="00BD64E2"/>
    <w:rsid w:val="00BD6915"/>
    <w:rsid w:val="00BE059E"/>
    <w:rsid w:val="00BE2DE2"/>
    <w:rsid w:val="00BE3BEA"/>
    <w:rsid w:val="00BE40A3"/>
    <w:rsid w:val="00BE4995"/>
    <w:rsid w:val="00BE6DDA"/>
    <w:rsid w:val="00BF138F"/>
    <w:rsid w:val="00BF429A"/>
    <w:rsid w:val="00BF62BE"/>
    <w:rsid w:val="00BF75E6"/>
    <w:rsid w:val="00C015F7"/>
    <w:rsid w:val="00C07126"/>
    <w:rsid w:val="00C15FA0"/>
    <w:rsid w:val="00C16853"/>
    <w:rsid w:val="00C236F2"/>
    <w:rsid w:val="00C263F0"/>
    <w:rsid w:val="00C33D41"/>
    <w:rsid w:val="00C40AFD"/>
    <w:rsid w:val="00C41E20"/>
    <w:rsid w:val="00C4279B"/>
    <w:rsid w:val="00C42E3E"/>
    <w:rsid w:val="00C51C13"/>
    <w:rsid w:val="00C525A5"/>
    <w:rsid w:val="00C5300F"/>
    <w:rsid w:val="00C54594"/>
    <w:rsid w:val="00C5624B"/>
    <w:rsid w:val="00C570B6"/>
    <w:rsid w:val="00C65772"/>
    <w:rsid w:val="00C66CE0"/>
    <w:rsid w:val="00C71BED"/>
    <w:rsid w:val="00C737B2"/>
    <w:rsid w:val="00C81B53"/>
    <w:rsid w:val="00C82AD2"/>
    <w:rsid w:val="00C90FB6"/>
    <w:rsid w:val="00C9220E"/>
    <w:rsid w:val="00C932BD"/>
    <w:rsid w:val="00C93429"/>
    <w:rsid w:val="00C9677D"/>
    <w:rsid w:val="00C97BD2"/>
    <w:rsid w:val="00CA16C5"/>
    <w:rsid w:val="00CA415A"/>
    <w:rsid w:val="00CA7A35"/>
    <w:rsid w:val="00CB1536"/>
    <w:rsid w:val="00CB69DA"/>
    <w:rsid w:val="00CB7FB8"/>
    <w:rsid w:val="00CC1793"/>
    <w:rsid w:val="00CC1F71"/>
    <w:rsid w:val="00CC2808"/>
    <w:rsid w:val="00CC5588"/>
    <w:rsid w:val="00CC5EB3"/>
    <w:rsid w:val="00CD0E7B"/>
    <w:rsid w:val="00CD2ABD"/>
    <w:rsid w:val="00CD4024"/>
    <w:rsid w:val="00CD4617"/>
    <w:rsid w:val="00CD4855"/>
    <w:rsid w:val="00CE6D43"/>
    <w:rsid w:val="00CE7888"/>
    <w:rsid w:val="00CE7893"/>
    <w:rsid w:val="00D10E1C"/>
    <w:rsid w:val="00D139E7"/>
    <w:rsid w:val="00D161A3"/>
    <w:rsid w:val="00D22E49"/>
    <w:rsid w:val="00D23716"/>
    <w:rsid w:val="00D25ED8"/>
    <w:rsid w:val="00D27F8F"/>
    <w:rsid w:val="00D311D6"/>
    <w:rsid w:val="00D316B8"/>
    <w:rsid w:val="00D31CFC"/>
    <w:rsid w:val="00D3255D"/>
    <w:rsid w:val="00D340C3"/>
    <w:rsid w:val="00D342F0"/>
    <w:rsid w:val="00D409CD"/>
    <w:rsid w:val="00D423D4"/>
    <w:rsid w:val="00D42CAF"/>
    <w:rsid w:val="00D44BA1"/>
    <w:rsid w:val="00D460E7"/>
    <w:rsid w:val="00D5203D"/>
    <w:rsid w:val="00D5310F"/>
    <w:rsid w:val="00D547A9"/>
    <w:rsid w:val="00D601EF"/>
    <w:rsid w:val="00D61533"/>
    <w:rsid w:val="00D63B2F"/>
    <w:rsid w:val="00D70747"/>
    <w:rsid w:val="00D7261D"/>
    <w:rsid w:val="00D755FC"/>
    <w:rsid w:val="00D76B6D"/>
    <w:rsid w:val="00D770FA"/>
    <w:rsid w:val="00D80F0B"/>
    <w:rsid w:val="00D81F78"/>
    <w:rsid w:val="00D84D07"/>
    <w:rsid w:val="00D8526A"/>
    <w:rsid w:val="00D90E91"/>
    <w:rsid w:val="00D95A6A"/>
    <w:rsid w:val="00DB60E1"/>
    <w:rsid w:val="00DC1347"/>
    <w:rsid w:val="00DC39F1"/>
    <w:rsid w:val="00DE4B35"/>
    <w:rsid w:val="00DF19C1"/>
    <w:rsid w:val="00DF54CA"/>
    <w:rsid w:val="00DF56C9"/>
    <w:rsid w:val="00DF5B64"/>
    <w:rsid w:val="00DF715C"/>
    <w:rsid w:val="00E02794"/>
    <w:rsid w:val="00E043E3"/>
    <w:rsid w:val="00E0505B"/>
    <w:rsid w:val="00E05E2E"/>
    <w:rsid w:val="00E11280"/>
    <w:rsid w:val="00E12359"/>
    <w:rsid w:val="00E129A9"/>
    <w:rsid w:val="00E152FF"/>
    <w:rsid w:val="00E15A9A"/>
    <w:rsid w:val="00E15B45"/>
    <w:rsid w:val="00E2461B"/>
    <w:rsid w:val="00E24886"/>
    <w:rsid w:val="00E276FB"/>
    <w:rsid w:val="00E30475"/>
    <w:rsid w:val="00E32595"/>
    <w:rsid w:val="00E32DC6"/>
    <w:rsid w:val="00E33A74"/>
    <w:rsid w:val="00E4030B"/>
    <w:rsid w:val="00E41D56"/>
    <w:rsid w:val="00E457DF"/>
    <w:rsid w:val="00E46642"/>
    <w:rsid w:val="00E5133F"/>
    <w:rsid w:val="00E5139A"/>
    <w:rsid w:val="00E53C02"/>
    <w:rsid w:val="00E5413D"/>
    <w:rsid w:val="00E57977"/>
    <w:rsid w:val="00E635D7"/>
    <w:rsid w:val="00E70576"/>
    <w:rsid w:val="00E71DED"/>
    <w:rsid w:val="00E757F0"/>
    <w:rsid w:val="00E776CC"/>
    <w:rsid w:val="00E83954"/>
    <w:rsid w:val="00E86506"/>
    <w:rsid w:val="00E91730"/>
    <w:rsid w:val="00E96F04"/>
    <w:rsid w:val="00E97AEC"/>
    <w:rsid w:val="00EA20FE"/>
    <w:rsid w:val="00EB491E"/>
    <w:rsid w:val="00EB681B"/>
    <w:rsid w:val="00EC4639"/>
    <w:rsid w:val="00EC4FAD"/>
    <w:rsid w:val="00EE1C7F"/>
    <w:rsid w:val="00EE3165"/>
    <w:rsid w:val="00EE3CFA"/>
    <w:rsid w:val="00EE5D6D"/>
    <w:rsid w:val="00EE69E4"/>
    <w:rsid w:val="00EE7B3C"/>
    <w:rsid w:val="00EF2A7F"/>
    <w:rsid w:val="00EF7E90"/>
    <w:rsid w:val="00F002B6"/>
    <w:rsid w:val="00F042BC"/>
    <w:rsid w:val="00F10AFE"/>
    <w:rsid w:val="00F13F78"/>
    <w:rsid w:val="00F15C6C"/>
    <w:rsid w:val="00F17173"/>
    <w:rsid w:val="00F20987"/>
    <w:rsid w:val="00F224DC"/>
    <w:rsid w:val="00F2687F"/>
    <w:rsid w:val="00F26A5E"/>
    <w:rsid w:val="00F27F29"/>
    <w:rsid w:val="00F32D54"/>
    <w:rsid w:val="00F36C54"/>
    <w:rsid w:val="00F418EA"/>
    <w:rsid w:val="00F41A29"/>
    <w:rsid w:val="00F44C1C"/>
    <w:rsid w:val="00F518DF"/>
    <w:rsid w:val="00F52CFF"/>
    <w:rsid w:val="00F544DB"/>
    <w:rsid w:val="00F61F93"/>
    <w:rsid w:val="00F648EA"/>
    <w:rsid w:val="00F6502E"/>
    <w:rsid w:val="00F65663"/>
    <w:rsid w:val="00F75147"/>
    <w:rsid w:val="00F756C0"/>
    <w:rsid w:val="00F75A40"/>
    <w:rsid w:val="00F77637"/>
    <w:rsid w:val="00F82306"/>
    <w:rsid w:val="00F8435D"/>
    <w:rsid w:val="00F85C14"/>
    <w:rsid w:val="00F862E5"/>
    <w:rsid w:val="00F87DD0"/>
    <w:rsid w:val="00F93360"/>
    <w:rsid w:val="00F93FE4"/>
    <w:rsid w:val="00F968D0"/>
    <w:rsid w:val="00F97E4E"/>
    <w:rsid w:val="00FA1A40"/>
    <w:rsid w:val="00FA217B"/>
    <w:rsid w:val="00FA7B2E"/>
    <w:rsid w:val="00FB0BC5"/>
    <w:rsid w:val="00FB0BCC"/>
    <w:rsid w:val="00FB6284"/>
    <w:rsid w:val="00FB7EF8"/>
    <w:rsid w:val="00FC0FE5"/>
    <w:rsid w:val="00FD02B1"/>
    <w:rsid w:val="00FD1ABC"/>
    <w:rsid w:val="00FD7DDF"/>
    <w:rsid w:val="00FE2314"/>
    <w:rsid w:val="00FE28DC"/>
    <w:rsid w:val="00FE4C92"/>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4539886C-691B-40FD-ADB2-CFCFE455AE1E}"/>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4EC"/>
    <w:pPr>
      <w:spacing w:line="288" w:lineRule="auto"/>
      <w:jc w:val="both"/>
    </w:pPr>
    <w:rPr>
      <w:lang w:val="en-US" w:eastAsia="en-US" w:bidi="ar-SA"/>
    </w:rPr>
  </w:style>
  <w:style w:type="paragraph" w:styleId="Heading1">
    <w:name w:val="heading 1"/>
    <w:basedOn w:val="Normal"/>
    <w:next w:val="Normal"/>
    <w:link w:val="Heading1Char"/>
    <w:qFormat/>
    <w:rsid w:val="002D14EC"/>
    <w:pPr>
      <w:numPr>
        <w:numId w:val="1"/>
      </w:numPr>
      <w:ind w:left="567" w:hanging="567"/>
      <w:outlineLvl w:val="0"/>
    </w:pPr>
    <w:rPr>
      <w:kern w:val="28"/>
    </w:rPr>
  </w:style>
  <w:style w:type="paragraph" w:styleId="Heading2">
    <w:name w:val="heading 2"/>
    <w:basedOn w:val="Normal"/>
    <w:next w:val="Normal"/>
    <w:link w:val="Heading2Char"/>
    <w:qFormat/>
    <w:rsid w:val="002D14EC"/>
    <w:pPr>
      <w:numPr>
        <w:ilvl w:val="1"/>
        <w:numId w:val="1"/>
      </w:numPr>
      <w:ind w:left="567" w:hanging="567"/>
      <w:outlineLvl w:val="1"/>
    </w:pPr>
  </w:style>
  <w:style w:type="paragraph" w:styleId="Heading3">
    <w:name w:val="heading 3"/>
    <w:basedOn w:val="Normal"/>
    <w:next w:val="Normal"/>
    <w:link w:val="Heading3Char"/>
    <w:qFormat/>
    <w:rsid w:val="002D14EC"/>
    <w:pPr>
      <w:numPr>
        <w:ilvl w:val="2"/>
        <w:numId w:val="1"/>
      </w:numPr>
      <w:ind w:left="567" w:hanging="567"/>
      <w:outlineLvl w:val="2"/>
    </w:pPr>
  </w:style>
  <w:style w:type="paragraph" w:styleId="Heading4">
    <w:name w:val="heading 4"/>
    <w:basedOn w:val="Normal"/>
    <w:next w:val="Normal"/>
    <w:link w:val="Heading4Char"/>
    <w:qFormat/>
    <w:rsid w:val="002D14EC"/>
    <w:pPr>
      <w:numPr>
        <w:ilvl w:val="3"/>
        <w:numId w:val="1"/>
      </w:numPr>
      <w:ind w:left="567" w:hanging="567"/>
      <w:outlineLvl w:val="3"/>
    </w:pPr>
  </w:style>
  <w:style w:type="paragraph" w:styleId="Heading5">
    <w:name w:val="heading 5"/>
    <w:basedOn w:val="Normal"/>
    <w:next w:val="Normal"/>
    <w:link w:val="Heading5Char"/>
    <w:qFormat/>
    <w:rsid w:val="002D14EC"/>
    <w:pPr>
      <w:numPr>
        <w:ilvl w:val="4"/>
        <w:numId w:val="1"/>
      </w:numPr>
      <w:ind w:left="567" w:hanging="567"/>
      <w:outlineLvl w:val="4"/>
    </w:pPr>
  </w:style>
  <w:style w:type="paragraph" w:styleId="Heading6">
    <w:name w:val="heading 6"/>
    <w:basedOn w:val="Normal"/>
    <w:next w:val="Normal"/>
    <w:link w:val="Heading6Char"/>
    <w:qFormat/>
    <w:rsid w:val="002D14EC"/>
    <w:pPr>
      <w:numPr>
        <w:ilvl w:val="5"/>
        <w:numId w:val="1"/>
      </w:numPr>
      <w:ind w:left="567" w:hanging="567"/>
      <w:outlineLvl w:val="5"/>
    </w:pPr>
  </w:style>
  <w:style w:type="paragraph" w:styleId="Heading7">
    <w:name w:val="heading 7"/>
    <w:basedOn w:val="Normal"/>
    <w:next w:val="Normal"/>
    <w:link w:val="Heading7Char"/>
    <w:qFormat/>
    <w:rsid w:val="002D14EC"/>
    <w:pPr>
      <w:numPr>
        <w:ilvl w:val="6"/>
        <w:numId w:val="1"/>
      </w:numPr>
      <w:ind w:left="567" w:hanging="567"/>
      <w:outlineLvl w:val="6"/>
    </w:pPr>
  </w:style>
  <w:style w:type="paragraph" w:styleId="Heading8">
    <w:name w:val="heading 8"/>
    <w:basedOn w:val="Normal"/>
    <w:next w:val="Normal"/>
    <w:link w:val="Heading8Char"/>
    <w:qFormat/>
    <w:rsid w:val="002D14EC"/>
    <w:pPr>
      <w:numPr>
        <w:ilvl w:val="7"/>
        <w:numId w:val="1"/>
      </w:numPr>
      <w:ind w:left="567" w:hanging="567"/>
      <w:outlineLvl w:val="7"/>
    </w:pPr>
  </w:style>
  <w:style w:type="paragraph" w:styleId="Heading9">
    <w:name w:val="heading 9"/>
    <w:basedOn w:val="Normal"/>
    <w:next w:val="Normal"/>
    <w:link w:val="Heading9Char"/>
    <w:qFormat/>
    <w:rsid w:val="002D14EC"/>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2D14EC"/>
  </w:style>
  <w:style w:type="character" w:customStyle="1" w:styleId="FooterChar">
    <w:name w:val="Footer Char"/>
    <w:basedOn w:val="DefaultParagraphFont"/>
    <w:link w:val="Footer"/>
    <w:locked/>
    <w:rsid w:val="00CB1536"/>
    <w:rPr>
      <w:lang w:val="en-US" w:eastAsia="en-US" w:bidi="ar-SA"/>
    </w:rPr>
  </w:style>
  <w:style w:type="paragraph" w:styleId="FootnoteText">
    <w:name w:val="footnote text"/>
    <w:basedOn w:val="Normal"/>
    <w:link w:val="FootnoteTextChar"/>
    <w:qFormat/>
    <w:rsid w:val="002D14EC"/>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2D14EC"/>
  </w:style>
  <w:style w:type="character" w:customStyle="1" w:styleId="HeaderChar">
    <w:name w:val="Header Char"/>
    <w:basedOn w:val="DefaultParagraphFont"/>
    <w:link w:val="Header"/>
    <w:locked/>
    <w:rsid w:val="00CB1536"/>
    <w:rPr>
      <w:lang w:val="en-US"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2D14EC"/>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customStyle="1" w:styleId="quotes">
    <w:name w:val="quotes"/>
    <w:basedOn w:val="Normal"/>
    <w:next w:val="Normal"/>
    <w:rsid w:val="002D14EC"/>
    <w:pPr>
      <w:ind w:left="720"/>
    </w:pPr>
    <w:rPr>
      <w:i/>
    </w:rPr>
  </w:style>
  <w:style w:type="paragraph" w:styleId="ListParagraph">
    <w:name w:val="List Paragraph"/>
    <w:basedOn w:val="Normal"/>
    <w:uiPriority w:val="34"/>
    <w:qFormat/>
    <w:rsid w:val="00FB7EF8"/>
    <w:pPr>
      <w:ind w:left="720"/>
      <w:contextualSpacing/>
    </w:pPr>
  </w:style>
  <w:style w:type="table" w:styleId="TableGrid">
    <w:name w:val="Table Grid"/>
    <w:basedOn w:val="TableNormal"/>
    <w:locked/>
    <w:rsid w:val="0008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70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0B6"/>
    <w:rPr>
      <w:rFonts w:ascii="Segoe UI"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5390">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757291352">
      <w:bodyDiv w:val="1"/>
      <w:marLeft w:val="0"/>
      <w:marRight w:val="0"/>
      <w:marTop w:val="0"/>
      <w:marBottom w:val="0"/>
      <w:divBdr>
        <w:top w:val="none" w:sz="0" w:space="0" w:color="auto"/>
        <w:left w:val="none" w:sz="0" w:space="0" w:color="auto"/>
        <w:bottom w:val="none" w:sz="0" w:space="0" w:color="auto"/>
        <w:right w:val="none" w:sz="0" w:space="0" w:color="auto"/>
      </w:divBdr>
    </w:div>
    <w:div w:id="11111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ustomXml" Target="../customXml/item1.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customXml" Target="../customXml/item4.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header" Target="header5.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uriserv:OJ.C_.2017.288.01.0056.01.FRA&amp;toc=OJ:C:2017:288:TOC" TargetMode="External"/><Relationship Id="rId2" Type="http://schemas.openxmlformats.org/officeDocument/2006/relationships/hyperlink" Target="https://www.eesc.europa.eu/en/sections-other-bodies/sections-commission/consultative-commission-industrial-change-ccmi/opinions?search=CCMI%2F130&amp;status=All" TargetMode="External"/><Relationship Id="rId1" Type="http://schemas.openxmlformats.org/officeDocument/2006/relationships/hyperlink" Target="https://eur-lex.europa.eu/legal-content/EN/TXT/?uri=COM:2021:249:FIN" TargetMode="External"/><Relationship Id="rId4" Type="http://schemas.openxmlformats.org/officeDocument/2006/relationships/hyperlink" Target="https://eur-lex.europa.eu/legal-content/EN/TXT/?uri=COM:2021:249:FIN"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2737E0B42D236040B3344A682183C722" ma:contentTypeVersion="5" ma:contentTypeDescription="Defines the documents for Document Manager V2" ma:contentTypeScope="" ma:versionID="a49dfa9223646b4869d5b0aad117590a">
  <xsd:schema xmlns:xsd="http://www.w3.org/2001/XMLSchema" xmlns:xs="http://www.w3.org/2001/XMLSchema" xmlns:p="http://schemas.microsoft.com/office/2006/metadata/properties" xmlns:ns2="01cfe264-354f-4f3f-acd0-cf26eb309336" xmlns:ns3="http://schemas.microsoft.com/sharepoint/v3/fields" xmlns:ns4="196ffe2b-9ed3-447e-a11d-182b366da4dc" targetNamespace="http://schemas.microsoft.com/office/2006/metadata/properties" ma:root="true" ma:fieldsID="a03460f8433ef602e5bc54e760c9ae9a" ns2:_="" ns3:_="" ns4:_="">
    <xsd:import namespace="01cfe264-354f-4f3f-acd0-cf26eb309336"/>
    <xsd:import namespace="http://schemas.microsoft.com/sharepoint/v3/fields"/>
    <xsd:import namespace="196ffe2b-9ed3-447e-a11d-182b366da4d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6ffe2b-9ed3-447e-a11d-182b366da4dc"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V63NAVDT5PV3-1365199066-8141</_dlc_DocId>
    <_dlc_DocIdUrl xmlns="01cfe264-354f-4f3f-acd0-cf26eb309336">
      <Url>http://dm2016/eesc/2021/_layouts/15/DocIdRedir.aspx?ID=V63NAVDT5PV3-1365199066-8141</Url>
      <Description>V63NAVDT5PV3-1365199066-8141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01cfe264-354f-4f3f-acd0-cf26eb309336"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2021-06-10T12:00:00+00:00</ProductionDate>
    <FicheYear xmlns="01cfe264-354f-4f3f-acd0-cf26eb309336" xsi:nil="true"/>
    <DocumentNumber xmlns="196ffe2b-9ed3-447e-a11d-182b366da4dc">995</DocumentNumber>
    <DocumentVersion xmlns="01cfe264-354f-4f3f-acd0-cf26eb309336">0</DocumentVersion>
    <DossierNumber xmlns="01cfe264-354f-4f3f-acd0-cf26eb309336">677</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 xsi:nil="true"/>
    <TaxCatchAll xmlns="01cfe264-354f-4f3f-acd0-cf26eb309336">
      <Value>86</Value>
      <Value>58</Value>
      <Value>51</Value>
      <Value>45</Value>
      <Value>42</Value>
      <Value>41</Value>
      <Value>40</Value>
      <Value>39</Value>
      <Value>38</Value>
      <Value>37</Value>
      <Value>35</Value>
      <Value>28</Value>
      <Value>25</Value>
      <Value>21</Value>
      <Value>19</Value>
      <Value>18</Value>
      <Value>17</Value>
      <Value>16</Value>
      <Value>15</Value>
      <Value>14</Value>
      <Value>13</Value>
      <Value>12</Value>
      <Value>11</Value>
      <Value>9</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01cfe264-354f-4f3f-acd0-cf26eb309336">BOGUSZ &amp; 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01cfe264-354f-4f3f-acd0-cf26eb309336">2021</DocumentYear>
    <FicheNumber xmlns="01cfe264-354f-4f3f-acd0-cf26eb309336">7936</FicheNumber>
    <OriginalSender xmlns="01cfe264-354f-4f3f-acd0-cf26eb309336">
      <UserInfo>
        <DisplayName>TDriveSVCUserProd</DisplayName>
        <AccountId>1515</AccountId>
        <AccountType/>
      </UserInfo>
    </OriginalSender>
    <DocumentPart xmlns="01cfe264-354f-4f3f-acd0-cf26eb309336">0</DocumentPart>
    <AdoptionDate xmlns="01cfe264-354f-4f3f-acd0-cf26eb309336">2021-06-09T12:00:00+00:00</AdoptionDate>
    <RequestingService xmlns="01cfe264-354f-4f3f-acd0-cf26eb309336">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96ffe2b-9ed3-447e-a11d-182b366da4d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Props1.xml><?xml version="1.0" encoding="utf-8"?>
<ds:datastoreItem xmlns:ds="http://schemas.openxmlformats.org/officeDocument/2006/customXml" ds:itemID="{FD17835A-4932-4320-858E-790F4D15F67F}"/>
</file>

<file path=customXml/itemProps2.xml><?xml version="1.0" encoding="utf-8"?>
<ds:datastoreItem xmlns:ds="http://schemas.openxmlformats.org/officeDocument/2006/customXml" ds:itemID="{585E9C1B-9609-4DC6-BE3C-E827492C46E7}"/>
</file>

<file path=customXml/itemProps3.xml><?xml version="1.0" encoding="utf-8"?>
<ds:datastoreItem xmlns:ds="http://schemas.openxmlformats.org/officeDocument/2006/customXml" ds:itemID="{E15AB64E-A0F6-4C68-9B0C-1F50C4521DF8}"/>
</file>

<file path=customXml/itemProps4.xml><?xml version="1.0" encoding="utf-8"?>
<ds:datastoreItem xmlns:ds="http://schemas.openxmlformats.org/officeDocument/2006/customXml" ds:itemID="{AD01315A-0B88-4078-A3E5-AFF597BE70DC}"/>
</file>

<file path=docProps/app.xml><?xml version="1.0" encoding="utf-8"?>
<Properties xmlns="http://schemas.openxmlformats.org/officeDocument/2006/extended-properties" xmlns:vt="http://schemas.openxmlformats.org/officeDocument/2006/docPropsVTypes">
  <Template>Styles</Template>
  <TotalTime>0</TotalTime>
  <Pages>1</Pages>
  <Words>4908</Words>
  <Characters>27980</Characters>
  <Application>Microsoft Office Word</Application>
  <DocSecurity>0</DocSecurity>
  <Lines>233</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Europe's beating cancer plan</vt:lpstr>
      <vt:lpstr>European Agenda on Migration: Second implementation package - A permanent crisis relocation mechanism under the Dublin system</vt:lpstr>
    </vt:vector>
  </TitlesOfParts>
  <Company>CESE-CdR</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Europe's beating cancer plan</dc:title>
  <dc:subject>Committee opinion</dc:subject>
  <dc:creator>Tomas Vocasek</dc:creator>
  <cp:keywords>EESC-2021-00995-00-00-AC-TRA-EN</cp:keywords>
  <dc:description>Rapporteur: - BOGUSZ &amp; ANGELOVA Original language: - EN Date of document: - 10/06/2021 Date of meeting: -  External documents: - COM(2021)44- final Administrator responsible: - Mme ATZORI Valeria</dc:description>
  <cp:lastModifiedBy>TDriveSVCUserProd</cp:lastModifiedBy>
  <cp:revision>4</cp:revision>
  <cp:lastPrinted>2016-01-26T08:31:00Z</cp:lastPrinted>
  <dcterms:created xsi:type="dcterms:W3CDTF">2021-06-10T12:07:00Z</dcterms:created>
  <dcterms:modified xsi:type="dcterms:W3CDTF">2021-06-10T12:09:00Z</dcterms:modified>
  <cp:category>SOC/677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10/06/2021, 02/06/2021, 31/05/2021, 18/05/2021, 11/05/2021, 28/04/2021, 22/04/2021, 22/03/2021, 04/11/2015, 27/10/2015, 19/10/2015, 09/10/2015, 05/10/2015, 05/10/2015, 26/08/2015, 26/08/2015, 25/08/2015</vt:lpwstr>
  </property>
  <property fmtid="{D5CDD505-2E9C-101B-9397-08002B2CF9AE}" pid="4" name="Pref_Time">
    <vt:lpwstr>14:06:05, 10:02:39, 09:36:40, 09:07:43, 09:39:32, 17:00:40, 11:07:33, 17:45:18, 12/10/07, 14:44:02, 16/04/16, 14:09:30, 16:24:55, 16:04:02, 08:56:14, 07:27:56, 17:31:53</vt:lpwstr>
  </property>
  <property fmtid="{D5CDD505-2E9C-101B-9397-08002B2CF9AE}" pid="5" name="Pref_User">
    <vt:lpwstr>amett, enied, hnic, hnic, hnic, jhvi, hnic, hnic, ssex, enied, amett, tvoc, mreg, mreg, amett, enied, ssex</vt:lpwstr>
  </property>
  <property fmtid="{D5CDD505-2E9C-101B-9397-08002B2CF9AE}" pid="6" name="Pref_FileName">
    <vt:lpwstr>EESC-2021-00995-00-00-AC-TRA-EN-CRR.docx, EESC-2021-00995-00-01-AS-ORI.docx, EESC-2021-00995-00-00-AS-ORI.docx, EESC-2021-00995-00-01-PA-ORI.docx, EESC-2021-00995-00-00-PA-ORI.docx, EESC-2021-00995-00-01-APA-ORI.docx, EESC-2021-00995-00-00-APA-ORI.docx, E</vt:lpwstr>
  </property>
  <property fmtid="{D5CDD505-2E9C-101B-9397-08002B2CF9AE}" pid="7" name="ContentTypeId">
    <vt:lpwstr>0x010100EA97B91038054C99906057A708A1480A002737E0B42D236040B3344A682183C722</vt:lpwstr>
  </property>
  <property fmtid="{D5CDD505-2E9C-101B-9397-08002B2CF9AE}" pid="8" name="_dlc_DocIdItemGuid">
    <vt:lpwstr>c809fbd1-55c0-47dd-9e08-ad58e9929403</vt:lpwstr>
  </property>
  <property fmtid="{D5CDD505-2E9C-101B-9397-08002B2CF9AE}" pid="9" name="AvailableTranslations">
    <vt:lpwstr>39;#SL|98a412ae-eb01-49e9-ae3d-585a81724cfc;#15;#LT|a7ff5ce7-6123-4f68-865a-a57c31810414;#40;#SV|c2ed69e7-a339-43d7-8f22-d93680a92aa0;#16;#IT|0774613c-01ed-4e5d-a25d-11d2388de825;#35;#PL|1e03da61-4678-4e07-b136-b5024ca9197b;#41;#BG|1a1b3951-7821-4e6a-85f5-5673fc08bd2c;#42;#FI|87606a43-d45f-42d6-b8c9-e1a3457db5b7;#21;#HU|6b229040-c589-4408-b4c1-4285663d20a8;#14;#ET|ff6c3f4c-b02c-4c3c-ab07-2c37995a7a0a;#11;#DE|f6b31e5a-26fa-4935-b661-318e46daf27e;#12;#DA|5d49c027-8956-412b-aa16-e85a0f96ad0e;#37;#EL|6d4f4d51-af9b-4650-94b4-4276bee85c91;#45;#RO|feb747a2-64cd-4299-af12-4833ddc30497;#19;#SK|46d9fce0-ef79-4f71-b89b-cd6aa82426b8;#13;#PT|50ccc04a-eadd-42ae-a0cb-acaf45f812ba;#9;#EN|f2175f21-25d7-44a3-96da-d6a61b075e1b;#58;#MT|7df99101-6854-4a26-b53a-b88c0da02c26;#17;#NL|55c6556c-b4f4-441d-9acf-c498d4f838bd;#25;#CS|72f9705b-0217-4fd3-bea2-cbc7ed80e26e;#18;#LV|46f7e311-5d9f-4663-b433-18aeccb7ace7;#38;#HR|2f555653-ed1a-4fe6-8362-9082d95989e5;#28;#ES|e7a6b05b-ae16-40c8-add9-68b64b03aeba;#4;#FR|d2afafd3-4c81-4f60-8f52-ee33f2f54ff3</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995</vt:i4>
  </property>
  <property fmtid="{D5CDD505-2E9C-101B-9397-08002B2CF9AE}" pid="14" name="FicheYear">
    <vt:i4>2021</vt:i4>
  </property>
  <property fmtid="{D5CDD505-2E9C-101B-9397-08002B2CF9AE}" pid="15" name="DocumentVersion">
    <vt:i4>0</vt:i4>
  </property>
  <property fmtid="{D5CDD505-2E9C-101B-9397-08002B2CF9AE}" pid="16" name="DossierNumber">
    <vt:i4>677</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51;#SOC|13795804-ecbd-4ce5-9693-9b8be1981b20</vt:lpwstr>
  </property>
  <property fmtid="{D5CDD505-2E9C-101B-9397-08002B2CF9AE}" pid="20" name="DocumentSource">
    <vt:lpwstr>1;#EESC|422833ec-8d7e-4e65-8e4e-8bed07ffb729</vt:lpwstr>
  </property>
  <property fmtid="{D5CDD505-2E9C-101B-9397-08002B2CF9AE}" pid="21" name="AdoptionDate">
    <vt:filetime>2021-06-09T12:00:00Z</vt:filetime>
  </property>
  <property fmtid="{D5CDD505-2E9C-101B-9397-08002B2CF9AE}" pid="22" name="DocumentType">
    <vt:lpwstr>86;#AC|a4cc1d15-fb08-4679-ad46-e4e0cba5fe92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9;#EN|f2175f21-25d7-44a3-96da-d6a61b075e1b</vt:lpwstr>
  </property>
  <property fmtid="{D5CDD505-2E9C-101B-9397-08002B2CF9AE}" pid="28" name="MeetingName">
    <vt:lpwstr/>
  </property>
  <property fmtid="{D5CDD505-2E9C-101B-9397-08002B2CF9AE}" pid="30" name="AvailableTranslations_0">
    <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86;#AC|a4cc1d15-fb08-4679-ad46-e4e0cba5fe92;#9;#EN|f2175f21-25d7-44a3-96da-d6a61b075e1b;#7;#TRA|150d2a88-1431-44e6-a8ca-0bb753ab8672;#6;#Final|ea5e6674-7b27-4bac-b091-73adbb394efe;#5;#Unrestricted|826e22d7-d029-4ec0-a450-0c28ff673572;#1;#EESC|422833ec-8d7e-4e65-8e4e-8bed07ffb729;#51;#SOC|13795804-ecbd-4ce5-9693-9b8be1981b20</vt:lpwstr>
  </property>
  <property fmtid="{D5CDD505-2E9C-101B-9397-08002B2CF9AE}" pid="34" name="Rapporteur">
    <vt:lpwstr>BOGUSZ &amp; ANGELOVA</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2021</vt:i4>
  </property>
  <property fmtid="{D5CDD505-2E9C-101B-9397-08002B2CF9AE}" pid="38" name="FicheNumber">
    <vt:i4>7936</vt:i4>
  </property>
  <property fmtid="{D5CDD505-2E9C-101B-9397-08002B2CF9AE}" pid="39" name="DocumentLanguage">
    <vt:lpwstr>9;#EN|f2175f21-25d7-44a3-96da-d6a61b075e1b</vt:lpwstr>
  </property>
  <property fmtid="{D5CDD505-2E9C-101B-9397-08002B2CF9AE}" pid="40" name="_docset_NoMedatataSyncRequired">
    <vt:lpwstr>False</vt:lpwstr>
  </property>
</Properties>
</file>