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2F780D" w:rsidR="00B35BA9" w14:paraId="47084D4A" w14:textId="77777777">
        <w:trPr>
          <w:jc w:val="center"/>
        </w:trPr>
        <w:tc>
          <w:tcPr>
            <w:tcW w:w="5000" w:type="pct"/>
            <w:vAlign w:val="center"/>
          </w:tcPr>
          <w:p w:rsidRPr="002F780D" w:rsidR="00574C9B" w:rsidP="006125A1" w:rsidRDefault="00574C9B" w14:paraId="1B4BD3C8" w14:textId="77777777">
            <w:pPr>
              <w:jc w:val="center"/>
              <w:rPr>
                <w:b/>
                <w:sz w:val="72"/>
                <w:szCs w:val="72"/>
              </w:rPr>
            </w:pPr>
            <w:r>
              <w:rPr>
                <w:b/>
                <w:sz w:val="72"/>
              </w:rPr>
              <w:t>ΓΝΩΜΟΔΟΤΗΣΗ</w:t>
            </w:r>
          </w:p>
        </w:tc>
      </w:tr>
      <w:tr w:rsidRPr="002F780D" w:rsidR="00B35BA9" w14:paraId="57A7A919" w14:textId="77777777">
        <w:trPr>
          <w:trHeight w:val="567"/>
          <w:jc w:val="center"/>
        </w:trPr>
        <w:tc>
          <w:tcPr>
            <w:tcW w:w="5000" w:type="pct"/>
            <w:vAlign w:val="center"/>
          </w:tcPr>
          <w:p w:rsidRPr="002F780D" w:rsidR="00574C9B" w:rsidP="006125A1" w:rsidRDefault="00574C9B" w14:paraId="2489DB1D" w14:textId="77777777">
            <w:pPr>
              <w:jc w:val="center"/>
              <w:rPr>
                <w:sz w:val="24"/>
                <w:szCs w:val="24"/>
              </w:rPr>
            </w:pPr>
            <w:r>
              <w:rPr>
                <w:sz w:val="24"/>
              </w:rPr>
              <w:t>Ευρωπαϊκή Οικονομική και Κοινωνική Επιτροπή</w:t>
            </w:r>
          </w:p>
        </w:tc>
      </w:tr>
      <w:tr w:rsidRPr="002F780D" w:rsidR="00B35BA9" w14:paraId="17D13CAD" w14:textId="77777777">
        <w:trPr>
          <w:jc w:val="center"/>
        </w:trPr>
        <w:tc>
          <w:tcPr>
            <w:tcW w:w="5000" w:type="pct"/>
            <w:vAlign w:val="center"/>
          </w:tcPr>
          <w:p w:rsidRPr="002F780D" w:rsidR="00574C9B" w:rsidP="006125A1" w:rsidRDefault="00CF38B9" w14:paraId="560EFB73" w14:textId="5CA07899">
            <w:pPr>
              <w:jc w:val="center"/>
              <w:rPr>
                <w:b/>
                <w:sz w:val="44"/>
                <w:szCs w:val="44"/>
              </w:rPr>
            </w:pPr>
            <w:r>
              <w:rPr>
                <w:b/>
                <w:sz w:val="44"/>
              </w:rPr>
              <w:t>Το δικαίωμα επισκευής</w:t>
            </w:r>
          </w:p>
        </w:tc>
      </w:tr>
      <w:tr w:rsidRPr="002F780D" w:rsidR="00B35BA9" w14:paraId="27863A85" w14:textId="77777777">
        <w:trPr>
          <w:jc w:val="center"/>
        </w:trPr>
        <w:tc>
          <w:tcPr>
            <w:tcW w:w="5000" w:type="pct"/>
            <w:vAlign w:val="center"/>
          </w:tcPr>
          <w:p w:rsidRPr="002F780D" w:rsidR="00574C9B" w:rsidP="006125A1" w:rsidRDefault="00574C9B" w14:paraId="511180C7" w14:textId="77777777">
            <w:pPr>
              <w:overflowPunct w:val="0"/>
              <w:autoSpaceDE w:val="0"/>
              <w:autoSpaceDN w:val="0"/>
              <w:adjustRightInd w:val="0"/>
              <w:jc w:val="center"/>
              <w:textAlignment w:val="baseline"/>
              <w:rPr>
                <w:b/>
                <w:position w:val="24"/>
                <w:sz w:val="24"/>
                <w:szCs w:val="24"/>
              </w:rPr>
            </w:pPr>
            <w:r>
              <w:rPr>
                <w:sz w:val="24"/>
              </w:rPr>
              <w:t>_____________</w:t>
            </w:r>
          </w:p>
        </w:tc>
      </w:tr>
      <w:tr w:rsidRPr="002F780D" w:rsidR="00B35BA9" w14:paraId="38EFB894" w14:textId="77777777">
        <w:trPr>
          <w:jc w:val="center"/>
        </w:trPr>
        <w:tc>
          <w:tcPr>
            <w:tcW w:w="5000" w:type="pct"/>
            <w:vAlign w:val="center"/>
          </w:tcPr>
          <w:p w:rsidR="00597270" w:rsidP="006125A1" w:rsidRDefault="00CF38B9" w14:paraId="25F08C6B" w14:textId="77777777">
            <w:pPr>
              <w:jc w:val="center"/>
              <w:rPr>
                <w:b/>
                <w:sz w:val="24"/>
              </w:rPr>
            </w:pPr>
            <w:r>
              <w:rPr>
                <w:b/>
                <w:sz w:val="24"/>
              </w:rPr>
              <w:t>Πρόταση οδηγίας του Ευρωπαϊκού Κοινοβουλίου και του Συμβουλίου</w:t>
            </w:r>
            <w:r>
              <w:rPr>
                <w:b/>
                <w:sz w:val="24"/>
              </w:rPr>
              <w:br/>
              <w:t>σχετικά με κοινούς κανόνες για την προώθηση της επισκευής αγαθών και για την τροποποίηση του κανονισμού (ΕΕ) 2017/2394 και των οδηγιών (ΕΕ) 2019/771 και (ΕΕ) 2020/1828</w:t>
            </w:r>
          </w:p>
          <w:p w:rsidRPr="002F780D" w:rsidR="00574C9B" w:rsidP="006125A1" w:rsidRDefault="00B13558" w14:paraId="637FCD31" w14:textId="1847A4F0">
            <w:pPr>
              <w:jc w:val="center"/>
              <w:rPr>
                <w:sz w:val="24"/>
                <w:szCs w:val="24"/>
              </w:rPr>
            </w:pPr>
            <w:r>
              <w:rPr>
                <w:sz w:val="24"/>
              </w:rPr>
              <w:t>[COM(2023) 155 </w:t>
            </w:r>
            <w:proofErr w:type="spellStart"/>
            <w:r>
              <w:rPr>
                <w:sz w:val="24"/>
              </w:rPr>
              <w:t>final</w:t>
            </w:r>
            <w:proofErr w:type="spellEnd"/>
            <w:r>
              <w:rPr>
                <w:sz w:val="24"/>
              </w:rPr>
              <w:t xml:space="preserve"> – 2023/0083 (COD)]</w:t>
            </w:r>
          </w:p>
        </w:tc>
      </w:tr>
      <w:tr w:rsidRPr="002F780D" w:rsidR="00B35BA9" w14:paraId="1E818B4E" w14:textId="77777777">
        <w:trPr>
          <w:jc w:val="center"/>
        </w:trPr>
        <w:tc>
          <w:tcPr>
            <w:tcW w:w="5000" w:type="pct"/>
            <w:vAlign w:val="center"/>
          </w:tcPr>
          <w:p w:rsidRPr="002F780D" w:rsidR="00574C9B" w:rsidP="006125A1" w:rsidRDefault="00574C9B" w14:paraId="5F88CF32" w14:textId="77777777">
            <w:pPr>
              <w:jc w:val="center"/>
              <w:rPr>
                <w:sz w:val="24"/>
                <w:szCs w:val="24"/>
                <w:lang w:val="en-GB"/>
              </w:rPr>
            </w:pPr>
          </w:p>
        </w:tc>
      </w:tr>
      <w:tr w:rsidRPr="002F780D" w:rsidR="00B35BA9" w14:paraId="61031538" w14:textId="77777777">
        <w:trPr>
          <w:jc w:val="center"/>
        </w:trPr>
        <w:tc>
          <w:tcPr>
            <w:tcW w:w="5000" w:type="pct"/>
            <w:vAlign w:val="center"/>
          </w:tcPr>
          <w:p w:rsidRPr="002F780D" w:rsidR="00574C9B" w:rsidP="006125A1" w:rsidRDefault="00E73E4E" w14:paraId="6AC9F684" w14:textId="242CE575">
            <w:pPr>
              <w:jc w:val="center"/>
              <w:rPr>
                <w:b/>
                <w:sz w:val="24"/>
                <w:szCs w:val="24"/>
              </w:rPr>
            </w:pPr>
            <w:r>
              <w:rPr>
                <w:b/>
                <w:sz w:val="24"/>
              </w:rPr>
              <w:t>INT/1015</w:t>
            </w:r>
          </w:p>
        </w:tc>
      </w:tr>
      <w:tr w:rsidRPr="002F780D" w:rsidR="00B35BA9" w14:paraId="3A2A6EDD" w14:textId="77777777">
        <w:trPr>
          <w:jc w:val="center"/>
        </w:trPr>
        <w:tc>
          <w:tcPr>
            <w:tcW w:w="5000" w:type="pct"/>
            <w:vAlign w:val="center"/>
          </w:tcPr>
          <w:p w:rsidRPr="002F780D" w:rsidR="00574C9B" w:rsidP="006125A1" w:rsidRDefault="00574C9B" w14:paraId="4E51FB81" w14:textId="77777777">
            <w:pPr>
              <w:jc w:val="center"/>
              <w:rPr>
                <w:sz w:val="24"/>
                <w:szCs w:val="24"/>
                <w:lang w:val="en-GB"/>
              </w:rPr>
            </w:pPr>
          </w:p>
        </w:tc>
      </w:tr>
      <w:tr w:rsidRPr="002F780D" w:rsidR="00B35BA9" w14:paraId="5A8EBC2A" w14:textId="77777777">
        <w:trPr>
          <w:jc w:val="center"/>
        </w:trPr>
        <w:tc>
          <w:tcPr>
            <w:tcW w:w="5000" w:type="pct"/>
            <w:vAlign w:val="center"/>
          </w:tcPr>
          <w:p w:rsidRPr="002F780D" w:rsidR="00574C9B" w:rsidP="00F1012C" w:rsidRDefault="00574C9B" w14:paraId="08EBD673" w14:textId="0EAFADE5">
            <w:pPr>
              <w:jc w:val="center"/>
              <w:rPr>
                <w:sz w:val="24"/>
                <w:szCs w:val="24"/>
              </w:rPr>
            </w:pPr>
            <w:r>
              <w:rPr>
                <w:sz w:val="24"/>
              </w:rPr>
              <w:t xml:space="preserve">Εισηγητής: </w:t>
            </w:r>
            <w:proofErr w:type="spellStart"/>
            <w:r>
              <w:rPr>
                <w:b/>
              </w:rPr>
              <w:t>Thierry</w:t>
            </w:r>
            <w:proofErr w:type="spellEnd"/>
            <w:r>
              <w:rPr>
                <w:b/>
              </w:rPr>
              <w:t xml:space="preserve"> LIBAERT</w:t>
            </w:r>
          </w:p>
        </w:tc>
      </w:tr>
      <w:tr w:rsidRPr="002F780D" w:rsidR="00B35BA9" w14:paraId="06FEE228" w14:textId="77777777">
        <w:trPr>
          <w:jc w:val="center"/>
        </w:trPr>
        <w:tc>
          <w:tcPr>
            <w:tcW w:w="5000" w:type="pct"/>
            <w:vAlign w:val="center"/>
          </w:tcPr>
          <w:p w:rsidRPr="002F780D" w:rsidR="00CB7CD0" w:rsidP="006125A1" w:rsidRDefault="00997D4F" w14:paraId="30D56E8D" w14:textId="04AEE64A">
            <w:pPr>
              <w:jc w:val="center"/>
              <w:rPr>
                <w:sz w:val="24"/>
                <w:szCs w:val="24"/>
              </w:rPr>
            </w:pPr>
            <w:proofErr w:type="spellStart"/>
            <w:r>
              <w:t>Συνεισηγήτρια</w:t>
            </w:r>
            <w:proofErr w:type="spellEnd"/>
            <w:r>
              <w:t xml:space="preserve">: </w:t>
            </w:r>
            <w:proofErr w:type="spellStart"/>
            <w:r>
              <w:rPr>
                <w:b/>
              </w:rPr>
              <w:t>Émilie</w:t>
            </w:r>
            <w:proofErr w:type="spellEnd"/>
            <w:r>
              <w:rPr>
                <w:b/>
              </w:rPr>
              <w:t xml:space="preserve"> PROUZET</w:t>
            </w:r>
            <w:r>
              <w:rPr>
                <w:sz w:val="24"/>
              </w:rPr>
              <w:t xml:space="preserve"> </w:t>
            </w:r>
          </w:p>
        </w:tc>
      </w:tr>
    </w:tbl>
    <w:p w:rsidRPr="002F780D" w:rsidR="00574C9B" w:rsidP="00574C9B" w:rsidRDefault="00574C9B" w14:paraId="7B36BE38" w14:textId="77777777">
      <w:r>
        <w:rPr>
          <w:noProof/>
          <w:sz w:val="20"/>
        </w:rPr>
        <mc:AlternateContent>
          <mc:Choice Requires="wps">
            <w:drawing>
              <wp:anchor distT="0" distB="0" distL="114300" distR="114300" simplePos="0" relativeHeight="251659264" behindDoc="1" locked="0" layoutInCell="0" allowOverlap="1" wp14:editId="121D8B70" wp14:anchorId="404E2CE8">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574D3BB7" w14:textId="77777777">
                            <w:pPr>
                              <w:jc w:val="center"/>
                            </w:pPr>
                            <w:r>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4E2CE8">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574D3BB7" w14:textId="77777777">
                      <w:pPr>
                        <w:jc w:val="center"/>
                      </w:pPr>
                      <w:r>
                        <w:rPr>
                          <w:rFonts w:ascii="Arial" w:hAnsi="Arial"/>
                          <w:b/>
                          <w:sz w:val="48"/>
                        </w:rPr>
                        <w:t>EL</w:t>
                      </w:r>
                    </w:p>
                  </w:txbxContent>
                </v:textbox>
                <w10:wrap anchorx="margin" anchory="page"/>
              </v:shape>
            </w:pict>
          </mc:Fallback>
        </mc:AlternateContent>
      </w:r>
    </w:p>
    <w:p w:rsidRPr="002F780D" w:rsidR="00574C9B" w:rsidP="00574C9B" w:rsidRDefault="00574C9B" w14:paraId="7E2C5231" w14:textId="77777777">
      <w:pPr>
        <w:rPr>
          <w:lang w:val="en-GB"/>
        </w:rPr>
      </w:pPr>
    </w:p>
    <w:p w:rsidRPr="002F780D" w:rsidR="00574C9B" w:rsidP="00574C9B" w:rsidRDefault="00574C9B" w14:paraId="055A18B7" w14:textId="77777777">
      <w:pPr>
        <w:rPr>
          <w:lang w:val="en-GB"/>
        </w:rPr>
        <w:sectPr w:rsidRPr="002F780D" w:rsidR="00574C9B" w:rsidSect="00DA3B94">
          <w:headerReference w:type="even" r:id="rId12"/>
          <w:headerReference w:type="default" r:id="rId13"/>
          <w:footerReference w:type="even" r:id="rId14"/>
          <w:footerReference w:type="default" r:id="rId15"/>
          <w:headerReference w:type="first" r:id="rId16"/>
          <w:footerReference w:type="first" r:id="rId17"/>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2F780D" w:rsidR="00B35BA9" w14:paraId="68A236B3" w14:textId="77777777">
        <w:tc>
          <w:tcPr>
            <w:tcW w:w="3085" w:type="dxa"/>
          </w:tcPr>
          <w:p w:rsidRPr="002F780D" w:rsidR="00AC5114" w:rsidP="00E15BF4" w:rsidRDefault="00AC5114" w14:paraId="6C72E225" w14:textId="77777777">
            <w:pPr>
              <w:autoSpaceDE w:val="0"/>
              <w:autoSpaceDN w:val="0"/>
              <w:jc w:val="left"/>
            </w:pPr>
            <w:r>
              <w:lastRenderedPageBreak/>
              <w:t>Αίτηση γνωμοδότησης</w:t>
            </w:r>
          </w:p>
        </w:tc>
        <w:tc>
          <w:tcPr>
            <w:tcW w:w="6204" w:type="dxa"/>
            <w:vAlign w:val="bottom"/>
          </w:tcPr>
          <w:p w:rsidRPr="002F780D" w:rsidR="00877F8D" w:rsidP="00877F8D" w:rsidRDefault="00877F8D" w14:paraId="0E5A9217" w14:textId="48ECAC35">
            <w:pPr>
              <w:autoSpaceDE w:val="0"/>
              <w:autoSpaceDN w:val="0"/>
              <w:jc w:val="left"/>
            </w:pPr>
            <w:r>
              <w:t>Ευρωπαϊκό Κοινοβούλιο, 17/04/2023</w:t>
            </w:r>
          </w:p>
          <w:p w:rsidRPr="002F780D" w:rsidR="00AC5114" w:rsidP="00877F8D" w:rsidRDefault="00877F8D" w14:paraId="43A33E84" w14:textId="79CA3EEF">
            <w:pPr>
              <w:autoSpaceDE w:val="0"/>
              <w:autoSpaceDN w:val="0"/>
              <w:jc w:val="left"/>
            </w:pPr>
            <w:r>
              <w:t>Συμβούλιο της Ευρωπαϊκής Ένωσης, 12/04/2023</w:t>
            </w:r>
          </w:p>
        </w:tc>
      </w:tr>
      <w:tr w:rsidRPr="002F780D" w:rsidR="00B35BA9" w14:paraId="7111F2EA" w14:textId="77777777">
        <w:tc>
          <w:tcPr>
            <w:tcW w:w="3085" w:type="dxa"/>
          </w:tcPr>
          <w:p w:rsidRPr="002F780D" w:rsidR="00AC5114" w:rsidP="0058411F" w:rsidRDefault="00AC5114" w14:paraId="32196EAF" w14:textId="77777777">
            <w:pPr>
              <w:autoSpaceDE w:val="0"/>
              <w:autoSpaceDN w:val="0"/>
              <w:jc w:val="left"/>
              <w:rPr>
                <w:szCs w:val="20"/>
              </w:rPr>
            </w:pPr>
            <w:r>
              <w:t>Νομική βάση</w:t>
            </w:r>
          </w:p>
        </w:tc>
        <w:tc>
          <w:tcPr>
            <w:tcW w:w="6204" w:type="dxa"/>
            <w:vAlign w:val="bottom"/>
          </w:tcPr>
          <w:p w:rsidRPr="002F780D" w:rsidR="00AC5114" w:rsidP="0058411F" w:rsidRDefault="002F780D" w14:paraId="14B7FA81" w14:textId="1377E67C">
            <w:pPr>
              <w:autoSpaceDE w:val="0"/>
              <w:autoSpaceDN w:val="0"/>
              <w:jc w:val="left"/>
              <w:rPr>
                <w:szCs w:val="20"/>
              </w:rPr>
            </w:pPr>
            <w:r>
              <w:t>Άρθρο 114 της Συνθήκης για τη λειτουργία της Ευρωπαϊκής Ένωσης</w:t>
            </w:r>
          </w:p>
        </w:tc>
      </w:tr>
      <w:tr w:rsidRPr="002F780D" w:rsidR="00B35BA9" w14:paraId="419BF98C" w14:textId="77777777">
        <w:tc>
          <w:tcPr>
            <w:tcW w:w="3085" w:type="dxa"/>
          </w:tcPr>
          <w:p w:rsidRPr="002F780D" w:rsidR="00AC5114" w:rsidP="0058411F" w:rsidRDefault="00AC5114" w14:paraId="58A0E2DB" w14:textId="77777777">
            <w:pPr>
              <w:autoSpaceDE w:val="0"/>
              <w:autoSpaceDN w:val="0"/>
              <w:jc w:val="left"/>
            </w:pPr>
            <w:r>
              <w:t>Αρμόδιο όργανο</w:t>
            </w:r>
          </w:p>
        </w:tc>
        <w:tc>
          <w:tcPr>
            <w:tcW w:w="6204" w:type="dxa"/>
            <w:vAlign w:val="bottom"/>
          </w:tcPr>
          <w:p w:rsidRPr="002F780D" w:rsidR="00AC5114" w:rsidP="0058411F" w:rsidRDefault="002F780D" w14:paraId="2F2BE279" w14:textId="398127AD">
            <w:pPr>
              <w:autoSpaceDE w:val="0"/>
              <w:autoSpaceDN w:val="0"/>
              <w:jc w:val="left"/>
            </w:pPr>
            <w:r>
              <w:t>Τμήμα «Ενιαία αγορά, παραγωγή και κατανάλωση»</w:t>
            </w:r>
          </w:p>
        </w:tc>
      </w:tr>
      <w:tr w:rsidRPr="002F780D" w:rsidR="00B35BA9" w14:paraId="3B02EC24" w14:textId="77777777">
        <w:tc>
          <w:tcPr>
            <w:tcW w:w="3085" w:type="dxa"/>
          </w:tcPr>
          <w:p w:rsidRPr="002F780D" w:rsidR="00AC5114" w:rsidP="0058411F" w:rsidRDefault="00AC5114" w14:paraId="17C1558A" w14:textId="77777777">
            <w:pPr>
              <w:autoSpaceDE w:val="0"/>
              <w:autoSpaceDN w:val="0"/>
              <w:jc w:val="left"/>
            </w:pPr>
            <w:r>
              <w:t>Έγκριση από το τμήμα</w:t>
            </w:r>
          </w:p>
        </w:tc>
        <w:tc>
          <w:tcPr>
            <w:tcW w:w="6204" w:type="dxa"/>
            <w:vAlign w:val="bottom"/>
          </w:tcPr>
          <w:p w:rsidRPr="002F780D" w:rsidR="00AC5114" w:rsidP="0058411F" w:rsidRDefault="00E509A1" w14:paraId="6EFB5543" w14:textId="6632CBF6">
            <w:pPr>
              <w:autoSpaceDE w:val="0"/>
              <w:autoSpaceDN w:val="0"/>
              <w:jc w:val="left"/>
            </w:pPr>
            <w:r>
              <w:t>02/06/2023</w:t>
            </w:r>
          </w:p>
        </w:tc>
      </w:tr>
      <w:tr w:rsidRPr="002F780D" w:rsidR="00B35BA9" w14:paraId="757A58FA" w14:textId="77777777">
        <w:tc>
          <w:tcPr>
            <w:tcW w:w="3085" w:type="dxa"/>
          </w:tcPr>
          <w:p w:rsidRPr="002F780D" w:rsidR="007446B8" w:rsidP="007446B8" w:rsidRDefault="007446B8" w14:paraId="7A2A0434" w14:textId="77777777">
            <w:pPr>
              <w:autoSpaceDE w:val="0"/>
              <w:autoSpaceDN w:val="0"/>
              <w:jc w:val="left"/>
            </w:pPr>
            <w:r>
              <w:t>Αποτέλεσμα της ψηφοφορίας</w:t>
            </w:r>
            <w:r>
              <w:br/>
              <w:t>(υπέρ/κατά/αποχές)</w:t>
            </w:r>
          </w:p>
        </w:tc>
        <w:tc>
          <w:tcPr>
            <w:tcW w:w="6204" w:type="dxa"/>
            <w:vAlign w:val="bottom"/>
          </w:tcPr>
          <w:p w:rsidRPr="002F780D" w:rsidR="007446B8" w:rsidP="007446B8" w:rsidRDefault="007446B8" w14:paraId="38F04B02" w14:textId="18837C68">
            <w:pPr>
              <w:autoSpaceDE w:val="0"/>
              <w:autoSpaceDN w:val="0"/>
              <w:jc w:val="left"/>
            </w:pPr>
            <w:r>
              <w:t>66/0/0</w:t>
            </w:r>
          </w:p>
        </w:tc>
      </w:tr>
      <w:tr w:rsidRPr="002F780D" w:rsidR="00B35BA9" w14:paraId="195E9D30" w14:textId="77777777">
        <w:tc>
          <w:tcPr>
            <w:tcW w:w="3085" w:type="dxa"/>
          </w:tcPr>
          <w:p w:rsidRPr="002F780D" w:rsidR="0058411F" w:rsidP="0058411F" w:rsidRDefault="0058411F" w14:paraId="71B45312" w14:textId="77777777">
            <w:pPr>
              <w:autoSpaceDE w:val="0"/>
              <w:autoSpaceDN w:val="0"/>
              <w:jc w:val="left"/>
            </w:pPr>
            <w:r>
              <w:t>Έγκριση από την Ολομέλεια</w:t>
            </w:r>
          </w:p>
        </w:tc>
        <w:tc>
          <w:tcPr>
            <w:tcW w:w="6204" w:type="dxa"/>
            <w:vAlign w:val="bottom"/>
          </w:tcPr>
          <w:p w:rsidRPr="002F780D" w:rsidR="0058411F" w:rsidP="0058411F" w:rsidRDefault="0063023B" w14:paraId="2DE3DB3E" w14:textId="136A3BC1">
            <w:pPr>
              <w:autoSpaceDE w:val="0"/>
              <w:autoSpaceDN w:val="0"/>
              <w:jc w:val="left"/>
            </w:pPr>
            <w:r>
              <w:t>14/06/2023</w:t>
            </w:r>
          </w:p>
        </w:tc>
      </w:tr>
      <w:tr w:rsidRPr="002F780D" w:rsidR="00B35BA9" w14:paraId="3291A866" w14:textId="77777777">
        <w:tc>
          <w:tcPr>
            <w:tcW w:w="3085" w:type="dxa"/>
          </w:tcPr>
          <w:p w:rsidRPr="002F780D" w:rsidR="0058411F" w:rsidP="0058411F" w:rsidRDefault="0058411F" w14:paraId="5DC0EEBC" w14:textId="77777777">
            <w:pPr>
              <w:autoSpaceDE w:val="0"/>
              <w:autoSpaceDN w:val="0"/>
              <w:jc w:val="left"/>
            </w:pPr>
            <w:r>
              <w:t>Σύνοδος ολομέλειας αριθ.</w:t>
            </w:r>
          </w:p>
        </w:tc>
        <w:tc>
          <w:tcPr>
            <w:tcW w:w="6204" w:type="dxa"/>
            <w:vAlign w:val="bottom"/>
          </w:tcPr>
          <w:p w:rsidRPr="002F780D" w:rsidR="0058411F" w:rsidP="0058411F" w:rsidRDefault="00B54946" w14:paraId="4D939A42" w14:textId="31E88953">
            <w:pPr>
              <w:autoSpaceDE w:val="0"/>
              <w:autoSpaceDN w:val="0"/>
              <w:jc w:val="left"/>
            </w:pPr>
            <w:r>
              <w:t xml:space="preserve">579 </w:t>
            </w:r>
          </w:p>
        </w:tc>
      </w:tr>
      <w:tr w:rsidRPr="002F780D" w:rsidR="00B35BA9" w14:paraId="1320EE9D" w14:textId="77777777">
        <w:tc>
          <w:tcPr>
            <w:tcW w:w="3085" w:type="dxa"/>
          </w:tcPr>
          <w:p w:rsidRPr="002F780D" w:rsidR="0058411F" w:rsidP="0058411F" w:rsidRDefault="0058411F" w14:paraId="18F62367" w14:textId="77777777">
            <w:pPr>
              <w:autoSpaceDE w:val="0"/>
              <w:autoSpaceDN w:val="0"/>
              <w:jc w:val="left"/>
            </w:pPr>
            <w:r>
              <w:t>Αποτέλεσμα της ψηφοφορίας</w:t>
            </w:r>
            <w:r>
              <w:br/>
              <w:t>(υπέρ/κατά/αποχές)</w:t>
            </w:r>
          </w:p>
        </w:tc>
        <w:tc>
          <w:tcPr>
            <w:tcW w:w="6204" w:type="dxa"/>
            <w:vAlign w:val="bottom"/>
          </w:tcPr>
          <w:p w:rsidRPr="002F780D" w:rsidR="0058411F" w:rsidP="0058411F" w:rsidRDefault="009E0E62" w14:paraId="35B8F1CC" w14:textId="6AB068FD">
            <w:pPr>
              <w:autoSpaceDE w:val="0"/>
              <w:autoSpaceDN w:val="0"/>
              <w:jc w:val="left"/>
            </w:pPr>
            <w:r>
              <w:t>178/1/1</w:t>
            </w:r>
          </w:p>
        </w:tc>
      </w:tr>
    </w:tbl>
    <w:p w:rsidRPr="002F780D" w:rsidR="00AC5114" w:rsidP="00574C9B" w:rsidRDefault="00AC5114" w14:paraId="716EA5CB" w14:textId="77777777">
      <w:pPr>
        <w:rPr>
          <w:lang w:val="en-GB"/>
        </w:rPr>
      </w:pPr>
    </w:p>
    <w:p w:rsidRPr="002F780D" w:rsidR="00AC5114" w:rsidP="00574C9B" w:rsidRDefault="00AC5114" w14:paraId="3CDB55C1" w14:textId="77777777">
      <w:pPr>
        <w:rPr>
          <w:lang w:val="en-GB"/>
        </w:rPr>
        <w:sectPr w:rsidRPr="002F780D" w:rsidR="00AC5114" w:rsidSect="00DA3B94">
          <w:headerReference w:type="even" r:id="rId18"/>
          <w:headerReference w:type="default" r:id="rId19"/>
          <w:footerReference w:type="default" r:id="rId20"/>
          <w:headerReference w:type="first" r:id="rId21"/>
          <w:pgSz w:w="11907" w:h="16839" w:code="9"/>
          <w:pgMar w:top="5669" w:right="1418" w:bottom="1418" w:left="1418" w:header="709" w:footer="709" w:gutter="0"/>
          <w:cols w:space="720"/>
          <w:docGrid w:linePitch="360"/>
        </w:sectPr>
      </w:pPr>
    </w:p>
    <w:p w:rsidRPr="002F780D" w:rsidR="00877F8D" w:rsidP="00877F8D" w:rsidRDefault="00877F8D" w14:paraId="4575B470" w14:textId="77777777">
      <w:pPr>
        <w:pStyle w:val="Heading1"/>
        <w:rPr>
          <w:bCs/>
        </w:rPr>
      </w:pPr>
      <w:r>
        <w:rPr>
          <w:b/>
        </w:rPr>
        <w:lastRenderedPageBreak/>
        <w:t>Συμπεράσματα και συστάσεις</w:t>
      </w:r>
    </w:p>
    <w:p w:rsidRPr="002F780D" w:rsidR="00877F8D" w:rsidP="00877F8D" w:rsidRDefault="00877F8D" w14:paraId="4F981908" w14:textId="77777777">
      <w:pPr>
        <w:pStyle w:val="Heading1"/>
        <w:numPr>
          <w:ilvl w:val="0"/>
          <w:numId w:val="0"/>
        </w:numPr>
        <w:ind w:left="567" w:hanging="567"/>
        <w:rPr>
          <w:bCs/>
          <w:lang w:val="en-GB"/>
        </w:rPr>
      </w:pPr>
    </w:p>
    <w:p w:rsidRPr="000A4F09" w:rsidR="00E90752" w:rsidP="00E90752" w:rsidRDefault="00E90752" w14:paraId="6B49AD21" w14:textId="72044171">
      <w:pPr>
        <w:pStyle w:val="Heading2"/>
      </w:pPr>
      <w:r>
        <w:t>Η Ευρωπαϊκή Οικονομική και Κοινωνική Επιτροπή (ΕΟΚΕ) συγχαίρει την Επιτροπή για τη δέσμη προτάσεων που έχουν στόχο να διευκολύνουν τη δυνατότητα επισκευής των προϊόντων και να καταστήσουν τη δυνατότητα αυτή πραγματική και εύστοχη, μέσω ενεργειών από τον σχεδιασμό ήδη και έως το τέλος του κύκλου ζωής του προϊόντος.</w:t>
      </w:r>
    </w:p>
    <w:p w:rsidRPr="000A4F09" w:rsidR="00E90752" w:rsidP="00E90752" w:rsidRDefault="00E90752" w14:paraId="0483BB9C" w14:textId="77777777">
      <w:pPr>
        <w:rPr>
          <w:lang w:val="fr-BE"/>
        </w:rPr>
      </w:pPr>
    </w:p>
    <w:p w:rsidRPr="000A4F09" w:rsidR="00E90752" w:rsidP="00E90752" w:rsidRDefault="00E90752" w14:paraId="4CC10372" w14:textId="77777777">
      <w:pPr>
        <w:pStyle w:val="Heading2"/>
      </w:pPr>
      <w:r>
        <w:t>Η ΕΟΚΕ πιστεύει ότι ορισμένα από τα μέτρα που αναπτύσσονται κατωτέρω θα μπορούσαν να συμβάλουν στην ενίσχυση της πραγματικής άσκησης του δικαιώματος αυτού στη δυνατότητα επισκευής.</w:t>
      </w:r>
    </w:p>
    <w:p w:rsidRPr="000A4F09" w:rsidR="00E90752" w:rsidP="00E90752" w:rsidRDefault="00E90752" w14:paraId="23AE19F6" w14:textId="77777777">
      <w:pPr>
        <w:rPr>
          <w:lang w:val="fr-BE"/>
        </w:rPr>
      </w:pPr>
    </w:p>
    <w:p w:rsidRPr="000A4F09" w:rsidR="00E90752" w:rsidP="00E90752" w:rsidRDefault="00E90752" w14:paraId="6926BB45" w14:textId="77777777">
      <w:pPr>
        <w:pStyle w:val="Heading2"/>
      </w:pPr>
      <w:r>
        <w:t xml:space="preserve">Η βελτίωση της πληροφόρησης των καταναλωτών μπορεί αναμφίβολα να ενισχύσει το δικαίωμα επισκευής. Υπό την έννοια αυτή, η δημιουργία μιας εθνικής πλατφόρμας όπου θα συγκεντρώνονται όλες οι πληροφορίες είναι εποικοδομητική, πρέπει όμως να διευκρινιστούν οι όροι για τη δημιουργία και την </w:t>
      </w:r>
      <w:proofErr w:type="spellStart"/>
      <w:r>
        <w:t>επικαιροποίησή</w:t>
      </w:r>
      <w:proofErr w:type="spellEnd"/>
      <w:r>
        <w:t xml:space="preserve"> της.</w:t>
      </w:r>
    </w:p>
    <w:p w:rsidR="006B38CF" w:rsidP="006B38CF" w:rsidRDefault="006B38CF" w14:paraId="58172460" w14:textId="77777777">
      <w:pPr>
        <w:pStyle w:val="Heading2"/>
        <w:numPr>
          <w:ilvl w:val="0"/>
          <w:numId w:val="0"/>
        </w:numPr>
      </w:pPr>
    </w:p>
    <w:p w:rsidRPr="000A4F09" w:rsidR="00E90752" w:rsidP="00E90752" w:rsidRDefault="00E90752" w14:paraId="146F8833" w14:textId="33762FDE">
      <w:pPr>
        <w:pStyle w:val="Heading2"/>
      </w:pPr>
      <w:r>
        <w:t>Δεύτερον, προκειμένου να διευκολυνθεί η πρακτική της επισκευής, η ΕΟΚΕ επικροτεί την ισορροπία των μέτρων που αφορούν τη νόμιμη εγγύηση, η οποία ενισχύει την υποχρέωση επισκευής, με παράλληλη διατήρηση της επιλογής του καταναλωτή να καταφύγει σε αντικατάσταση σε περίπτωση σημαντικής δυσαρέσκειας. Ωστόσο, η ΕΟΚΕ υποστηρίζει ότι η ενίσχυση της υποχρέωσης επισκευής που βαρύνει τον διανομέα θα πρέπει να συνοδεύεται από ουσιαστική άσκηση του δικαιώματος του διανομέα να στραφεί αυτοδικαίως κατά του κατασκευαστή (ιδίως όσον αφορά τα ανταλλακτικά και το κόστος). Πράγματι, οι διανομείς έχουν ρόλο διασύνδεσης με τους καταναλωτές και θα πρέπει να μπορούν να υποστηρίζονται προς αυτή την κατεύθυνση.</w:t>
      </w:r>
    </w:p>
    <w:p w:rsidRPr="000A4F09" w:rsidR="00E90752" w:rsidP="00E90752" w:rsidRDefault="00E90752" w14:paraId="15C8D2D0" w14:textId="77777777">
      <w:pPr>
        <w:rPr>
          <w:lang w:val="fr-BE"/>
        </w:rPr>
      </w:pPr>
    </w:p>
    <w:p w:rsidRPr="000A4F09" w:rsidR="00E90752" w:rsidP="00E90752" w:rsidRDefault="00E90752" w14:paraId="544C3793" w14:textId="77777777">
      <w:pPr>
        <w:pStyle w:val="Heading2"/>
      </w:pPr>
      <w:r>
        <w:t>Προκειμένου να διευκολυνθεί η επιλογή της επισκευής εκτός της νόμιμης εγγύησης, είναι σημαντικό να υποστηριχθεί η περαιτέρω ανάπτυξη του κλάδου παροχής υπηρεσιών επισκευής, τόσο μέσω της επαγγελματικής κατάρτισης όσο και μέσω της εξασφάλισης της πρόσβασης όλων των επισκευαστών στις βασικές πληροφορίες επισκευής και συντήρησης και στα αναγκαία ανταλλακτικά, και μάλιστα σε λογική τιμή.</w:t>
      </w:r>
    </w:p>
    <w:p w:rsidRPr="000A4F09" w:rsidR="00E90752" w:rsidP="00E90752" w:rsidRDefault="00E90752" w14:paraId="0AFCDD38" w14:textId="77777777">
      <w:pPr>
        <w:rPr>
          <w:lang w:val="fr-BE"/>
        </w:rPr>
      </w:pPr>
    </w:p>
    <w:p w:rsidRPr="000A4F09" w:rsidR="00E90752" w:rsidP="00E90752" w:rsidRDefault="00E90752" w14:paraId="21BF6684" w14:textId="77777777">
      <w:pPr>
        <w:pStyle w:val="Heading2"/>
      </w:pPr>
      <w:r>
        <w:t>Η προώθηση της δυνατότητας επισκευής των προϊόντων εκ σχεδιασμού αποτελεί αντικείμενο χωριστού σχεδίου κανονισμού. Θα πρέπει επίσης να υπάρξει συμβολή στη δυνατότητα αυτή πέρα από το στάδιο του σχεδιασμού, μετά την πώληση. Για τον σκοπό αυτό, στο πλαίσιο του εν εξελίξει εκσυγχρονισμού του καθεστώτος διανοητικής ιδιοκτησίας</w:t>
      </w:r>
      <w:r w:rsidRPr="000A4F09">
        <w:rPr>
          <w:rStyle w:val="FootnoteReference"/>
          <w:lang w:val="fr-BE"/>
        </w:rPr>
        <w:footnoteReference w:id="1"/>
      </w:r>
      <w:r>
        <w:t xml:space="preserve">, η ΕΟΚΕ καλεί την Επιτροπή να αξιολογήσει κατά πόσον θα ήταν σκόπιμη η προώθηση της ανταλλαγής δεδομένων σχετικά με τα ανταλλακτικά και με τη δυνατότητα επισκευής των προϊόντων. Ως εναλλακτικός μοχλός, πρέπει να ενισχυθεί η πρόσβαση σε ανταλλακτικά κατασκευασμένα με τρισδιάστατη εκτύπωση ή σε ασφαλή μεταχειρισμένα εξαρτήματα, καθώς και η στήριξη των </w:t>
      </w:r>
      <w:proofErr w:type="spellStart"/>
      <w:r>
        <w:t>ανασυσκευασμένων</w:t>
      </w:r>
      <w:proofErr w:type="spellEnd"/>
      <w:r>
        <w:t xml:space="preserve"> προϊόντων.</w:t>
      </w:r>
    </w:p>
    <w:p w:rsidRPr="000A4F09" w:rsidR="00E90752" w:rsidP="00E90752" w:rsidRDefault="00E90752" w14:paraId="46CCA022" w14:textId="77777777">
      <w:pPr>
        <w:rPr>
          <w:lang w:val="fr-BE"/>
        </w:rPr>
      </w:pPr>
    </w:p>
    <w:p w:rsidRPr="000A4F09" w:rsidR="00E90752" w:rsidP="00E90752" w:rsidRDefault="00E90752" w14:paraId="33280B73" w14:textId="77777777">
      <w:pPr>
        <w:pStyle w:val="Heading2"/>
      </w:pPr>
      <w:r>
        <w:t xml:space="preserve">Για λόγους συνέπειας, το δικαίωμα επισκευής πρέπει να στηρίζεται επίσης στην απαγόρευση των εκ προθέσεως πρακτικών που αποσκοπούν στην παρεμπόδιση της επισκευής, ιδίως δε της </w:t>
      </w:r>
      <w:proofErr w:type="spellStart"/>
      <w:r>
        <w:lastRenderedPageBreak/>
        <w:t>σειριοποίησης</w:t>
      </w:r>
      <w:proofErr w:type="spellEnd"/>
      <w:r>
        <w:t>, στις περιπτώσεις εκείνες όπου είναι προφανές ότι οι πρακτικές αυτές εφαρμόζονται αποκλειστικά για την παρεμπόδιση του ανταγωνισμού στην αγορά ανταλλακτικών.</w:t>
      </w:r>
    </w:p>
    <w:p w:rsidRPr="000A4F09" w:rsidR="00E90752" w:rsidP="00E90752" w:rsidRDefault="00E90752" w14:paraId="224BFF1D" w14:textId="77777777">
      <w:pPr>
        <w:rPr>
          <w:lang w:val="fr-BE"/>
        </w:rPr>
      </w:pPr>
    </w:p>
    <w:p w:rsidRPr="000A4F09" w:rsidR="00E90752" w:rsidP="00E90752" w:rsidRDefault="00E90752" w14:paraId="5886C830" w14:textId="77777777">
      <w:pPr>
        <w:pStyle w:val="Heading2"/>
      </w:pPr>
      <w:r>
        <w:t xml:space="preserve">Τέλος, είναι αναγκαίο να υπάρξει μέριμνα για την ποιότητα, την ασφάλεια και το κόστος της επισκευής. Ο ανταγωνισμός μεταξύ </w:t>
      </w:r>
      <w:proofErr w:type="spellStart"/>
      <w:r>
        <w:t>παρόχων</w:t>
      </w:r>
      <w:proofErr w:type="spellEnd"/>
      <w:r>
        <w:t xml:space="preserve"> υπηρεσιών επισκευής με τη χρήση του εναρμονισμένου εντύπου, βάσει συγκριτικών πληροφοριών, αποτελεί καλό εργαλείο για την εξέλιξη της αγοράς. Ωστόσο, η ΕΟΚΕ πιστεύει ότι είναι σημαντικό να προχωρήσουμε περαιτέρω και να προσδιορίσουμε, με βάση τις εμπειρίες που έχουν αναπτυχθεί σε εθνικό επίπεδο, τα χρηματοδοτικά μέσα που είναι πιθανότερο να ενθαρρύνουν τους καταναλωτές να επισκευάζουν τα προϊόντα τους.</w:t>
      </w:r>
    </w:p>
    <w:p w:rsidRPr="000A4F09" w:rsidR="00E90752" w:rsidP="00E90752" w:rsidRDefault="00E90752" w14:paraId="45BAAC4F" w14:textId="77777777">
      <w:pPr>
        <w:rPr>
          <w:lang w:val="fr-BE"/>
        </w:rPr>
      </w:pPr>
    </w:p>
    <w:p w:rsidRPr="000A4F09" w:rsidR="00E90752" w:rsidP="00E90752" w:rsidRDefault="00E90752" w14:paraId="2571287E" w14:textId="77777777">
      <w:pPr>
        <w:pStyle w:val="Heading2"/>
      </w:pPr>
      <w:r>
        <w:t>Η ΕΟΚΕ υπενθυμίζει ότι το θέμα της επισκευής αφορά όλα τα ενδιαφερόμενα μέρη και όχι μόνο τις επιχειρήσεις. Καλεί την Ευρωπαϊκή Επιτροπή να προωθήσει εκστρατείες ευαισθητοποίησης των καταναλωτών σχετικά με τη συντήρηση και τη χρήση των προϊόντων, καθώς και σχετικά με την επισκευή.</w:t>
      </w:r>
    </w:p>
    <w:p w:rsidRPr="000A4F09" w:rsidR="00E90752" w:rsidP="00E90752" w:rsidRDefault="00E90752" w14:paraId="012B42CB" w14:textId="77777777">
      <w:pPr>
        <w:rPr>
          <w:lang w:val="fr-BE"/>
        </w:rPr>
      </w:pPr>
    </w:p>
    <w:p w:rsidRPr="000A4F09" w:rsidR="00E90752" w:rsidP="00E90752" w:rsidRDefault="00E90752" w14:paraId="73AE1120" w14:textId="77777777">
      <w:pPr>
        <w:pStyle w:val="Heading1"/>
        <w:keepNext/>
        <w:keepLines/>
        <w:rPr>
          <w:b/>
        </w:rPr>
      </w:pPr>
      <w:r>
        <w:rPr>
          <w:b/>
        </w:rPr>
        <w:t>Κύρια σημεία του εγγράφου της Επιτροπής</w:t>
      </w:r>
    </w:p>
    <w:p w:rsidRPr="000A4F09" w:rsidR="00E90752" w:rsidP="00E90752" w:rsidRDefault="00E90752" w14:paraId="77D3FF58" w14:textId="77777777">
      <w:pPr>
        <w:keepNext/>
        <w:keepLines/>
        <w:jc w:val="left"/>
        <w:rPr>
          <w:lang w:val="fr-BE"/>
        </w:rPr>
      </w:pPr>
    </w:p>
    <w:p w:rsidRPr="000A4F09" w:rsidR="00E90752" w:rsidP="00E90752" w:rsidRDefault="00E90752" w14:paraId="1AF7CEFA" w14:textId="77777777">
      <w:pPr>
        <w:pStyle w:val="Heading2"/>
      </w:pPr>
      <w:r>
        <w:t>Η πρόταση οδηγίας εντάσσεται σε ένα σύνολο κειμένων που αποσκοπούν στην ενίσχυση του ρόλου των καταναλωτών στην πράσινη μετάβαση. Συνάδει με μια σειρά κειμένων, ιδίως δε την Ευρωπαϊκή Πράσινη Συμφωνία (Δεκέμβριος 2019), το σχέδιο δράσης για την κυκλική οικονομία (Μάρτιος 2020) και το νέο θεματολόγιο για τους καταναλωτές (Νοέμβριος 2020).</w:t>
      </w:r>
    </w:p>
    <w:p w:rsidR="006B38CF" w:rsidP="006B38CF" w:rsidRDefault="006B38CF" w14:paraId="6D0D4BD0" w14:textId="77777777">
      <w:pPr>
        <w:pStyle w:val="Heading2"/>
        <w:numPr>
          <w:ilvl w:val="0"/>
          <w:numId w:val="0"/>
        </w:numPr>
      </w:pPr>
    </w:p>
    <w:p w:rsidRPr="000A4F09" w:rsidR="00E90752" w:rsidP="00E90752" w:rsidRDefault="00E90752" w14:paraId="43C08C6A" w14:textId="7461F552">
      <w:pPr>
        <w:pStyle w:val="Heading2"/>
      </w:pPr>
      <w:r>
        <w:t>Για την προώθηση της επισκευής των μη συμμορφούμενων προϊόντων, η Ευρωπαϊκή Επιτροπή επιδιώκει, κατ’ αυτόν τον τρόπο, να ενδυναμώσει εκ νέου τους καταναλωτές, παρέχοντάς τους τη δυνατότητα να επιλέγουν την κυκλική οικονομία σε δύο καίρια στάδια:</w:t>
      </w:r>
    </w:p>
    <w:p w:rsidRPr="000A4F09" w:rsidR="00E90752" w:rsidP="00E90752" w:rsidRDefault="00E90752" w14:paraId="4CD799FF" w14:textId="77777777">
      <w:pPr>
        <w:rPr>
          <w:lang w:val="fr-BE"/>
        </w:rPr>
      </w:pPr>
    </w:p>
    <w:p w:rsidRPr="000A4F09" w:rsidR="00E90752" w:rsidP="00E90752" w:rsidRDefault="00E90752" w14:paraId="063B9D2A" w14:textId="77777777">
      <w:pPr>
        <w:numPr>
          <w:ilvl w:val="0"/>
          <w:numId w:val="19"/>
        </w:numPr>
        <w:ind w:left="851" w:hanging="284"/>
      </w:pPr>
      <w:r>
        <w:t>κατά τη στιγμή της αγοράς, δυνάμει:</w:t>
      </w:r>
    </w:p>
    <w:p w:rsidRPr="000A4F09" w:rsidR="00E90752" w:rsidP="00E90752" w:rsidRDefault="00E90752" w14:paraId="3808F959" w14:textId="77777777">
      <w:pPr>
        <w:numPr>
          <w:ilvl w:val="1"/>
          <w:numId w:val="19"/>
        </w:numPr>
        <w:ind w:left="1134" w:hanging="283"/>
      </w:pPr>
      <w:r>
        <w:t>της πρότασης κανονισμού για τον οικολογικό σχεδιασμό των προϊόντων, η οποία περιλαμβάνει απαιτήσεις σχεδιασμού των προϊόντων και διαθεσιμότητας των ανταλλακτικών·</w:t>
      </w:r>
    </w:p>
    <w:p w:rsidRPr="000A4F09" w:rsidR="00E90752" w:rsidP="00E90752" w:rsidRDefault="00E90752" w14:paraId="4B52A1CD" w14:textId="77777777">
      <w:pPr>
        <w:numPr>
          <w:ilvl w:val="1"/>
          <w:numId w:val="19"/>
        </w:numPr>
        <w:ind w:left="1134" w:hanging="283"/>
      </w:pPr>
      <w:r>
        <w:t>της πρότασης οδηγίας για την ενδυνάμωση των καταναλωτών σε θέματα πράσινης μετάβασης, η οποία περιλαμβάνει απαιτήσεις πληροφόρησης σχετικά με την ανθεκτικότητα και τη δυνατότητα επισκευής του προϊόντος στο σημείο πώλησης·</w:t>
      </w:r>
    </w:p>
    <w:p w:rsidRPr="000A4F09" w:rsidR="00E90752" w:rsidP="00E90752" w:rsidRDefault="00E90752" w14:paraId="3C16007A" w14:textId="77777777">
      <w:pPr>
        <w:rPr>
          <w:lang w:val="fr-BE"/>
        </w:rPr>
      </w:pPr>
    </w:p>
    <w:p w:rsidRPr="000A4F09" w:rsidR="00E90752" w:rsidP="00E90752" w:rsidRDefault="00E90752" w14:paraId="331D1B58" w14:textId="77777777">
      <w:pPr>
        <w:numPr>
          <w:ilvl w:val="0"/>
          <w:numId w:val="19"/>
        </w:numPr>
        <w:ind w:left="851" w:hanging="284"/>
      </w:pPr>
      <w:r>
        <w:t>και μετά την πώληση:</w:t>
      </w:r>
    </w:p>
    <w:p w:rsidRPr="000A4F09" w:rsidR="00E90752" w:rsidP="00E90752" w:rsidRDefault="00E90752" w14:paraId="7EAEBC55" w14:textId="4D9C90B5">
      <w:pPr>
        <w:numPr>
          <w:ilvl w:val="1"/>
          <w:numId w:val="19"/>
        </w:numPr>
        <w:ind w:left="1134" w:hanging="283"/>
      </w:pPr>
      <w:r>
        <w:t>δυνάμει της οδηγίας για τον καθορισμό της νόμιμης εγγύησης, κατά τη διάρκεια αυτής της περιόδου εγγύησης μετά την αγορά του προϊόντος, ο καταναλωτής, σε περίπτωση ελαττώματος του προϊόντος, μπορεί ιδίως να επιλέξει μεταξύ της επισκευής ή της δωρεάν αντικατάστασης του μη συμμορφούμενου προϊόντος. Η επισκευή μπορεί να μην επιλεγεί σε περιπτώσεις όπου αποδεικνύεται αδύνατη ή έχει δυσανάλογο κόστος για τον διανομέα ή ακόμη και σε περίπτωση σημαντικού μειονεκτήματος για τον καταναλωτή·</w:t>
      </w:r>
    </w:p>
    <w:p w:rsidRPr="000A4F09" w:rsidR="00E90752" w:rsidP="00E90752" w:rsidRDefault="00E90752" w14:paraId="107C0005" w14:textId="77777777">
      <w:pPr>
        <w:numPr>
          <w:ilvl w:val="1"/>
          <w:numId w:val="19"/>
        </w:numPr>
        <w:ind w:left="1134" w:hanging="283"/>
      </w:pPr>
      <w:r>
        <w:t>η πρωτοβουλία αυτή για τη δυνατότητα επισκευής καλύπτει επίσης την περίοδο μετά την πώληση.</w:t>
      </w:r>
    </w:p>
    <w:p w:rsidR="006B38CF" w:rsidP="006B38CF" w:rsidRDefault="006B38CF" w14:paraId="789EA0AA" w14:textId="77777777">
      <w:pPr>
        <w:pStyle w:val="Heading2"/>
        <w:keepNext/>
        <w:numPr>
          <w:ilvl w:val="0"/>
          <w:numId w:val="0"/>
        </w:numPr>
      </w:pPr>
    </w:p>
    <w:p w:rsidRPr="000A4F09" w:rsidR="00E90752" w:rsidP="00E90752" w:rsidRDefault="00E90752" w14:paraId="6A54E255" w14:textId="1F96D60E">
      <w:pPr>
        <w:pStyle w:val="Heading2"/>
        <w:keepNext/>
      </w:pPr>
      <w:r>
        <w:t>Η πρόταση οδηγίας σχετικά με κοινούς κανόνες για την προώθηση της επισκευής αγαθών αφορά τις περιπτώσεις ελαττωματικών προϊόντων ή προϊόντων που έχουν υποστεί ζημία, παράλληλα με τη νόμιμη περίοδο εγγύησης ή μετά τη λήξη της. Προβλέπει κυρίως τέσσερις υποχρεώσεις:</w:t>
      </w:r>
    </w:p>
    <w:p w:rsidRPr="00811DE2" w:rsidR="00E90752" w:rsidP="00E90752" w:rsidRDefault="00E90752" w14:paraId="557BBC42" w14:textId="77777777">
      <w:pPr>
        <w:pStyle w:val="ListParagraph"/>
        <w:numPr>
          <w:ilvl w:val="0"/>
          <w:numId w:val="20"/>
        </w:numPr>
        <w:spacing w:after="0" w:line="288" w:lineRule="auto"/>
        <w:ind w:left="851" w:hanging="284"/>
        <w:jc w:val="both"/>
        <w:rPr>
          <w:rFonts w:ascii="Times New Roman" w:hAnsi="Times New Roman" w:cs="Times New Roman"/>
        </w:rPr>
      </w:pPr>
      <w:r>
        <w:rPr>
          <w:rFonts w:ascii="Times New Roman" w:hAnsi="Times New Roman"/>
        </w:rPr>
        <w:t>γενική υποχρέωση επισκευής·</w:t>
      </w:r>
    </w:p>
    <w:p w:rsidRPr="00811DE2" w:rsidR="00E90752" w:rsidP="00E90752" w:rsidRDefault="00E90752" w14:paraId="06F20E3D" w14:textId="77777777">
      <w:pPr>
        <w:pStyle w:val="ListParagraph"/>
        <w:numPr>
          <w:ilvl w:val="0"/>
          <w:numId w:val="20"/>
        </w:numPr>
        <w:spacing w:after="0" w:line="288" w:lineRule="auto"/>
        <w:ind w:left="851" w:hanging="284"/>
        <w:jc w:val="both"/>
        <w:rPr>
          <w:rFonts w:ascii="Times New Roman" w:hAnsi="Times New Roman" w:cs="Times New Roman"/>
        </w:rPr>
      </w:pPr>
      <w:r>
        <w:rPr>
          <w:rFonts w:ascii="Times New Roman" w:hAnsi="Times New Roman"/>
        </w:rPr>
        <w:t>παροχή δελτίου πληροφοριών σχετικά με την επισκευή και τους επισκευαστές·</w:t>
      </w:r>
    </w:p>
    <w:p w:rsidRPr="00811DE2" w:rsidR="00E90752" w:rsidP="00E90752" w:rsidRDefault="00E90752" w14:paraId="0F1900F9" w14:textId="77777777">
      <w:pPr>
        <w:pStyle w:val="ListParagraph"/>
        <w:numPr>
          <w:ilvl w:val="0"/>
          <w:numId w:val="20"/>
        </w:numPr>
        <w:spacing w:after="0" w:line="288" w:lineRule="auto"/>
        <w:ind w:left="851" w:hanging="284"/>
        <w:jc w:val="both"/>
        <w:rPr>
          <w:rFonts w:ascii="Times New Roman" w:hAnsi="Times New Roman" w:cs="Times New Roman"/>
        </w:rPr>
      </w:pPr>
      <w:r>
        <w:rPr>
          <w:rFonts w:ascii="Times New Roman" w:hAnsi="Times New Roman"/>
        </w:rPr>
        <w:t>παροχή πληροφοριών σχετικά με την επισκευή·</w:t>
      </w:r>
    </w:p>
    <w:p w:rsidRPr="000A4F09" w:rsidR="00E90752" w:rsidP="00E90752" w:rsidRDefault="00E90752" w14:paraId="4D46F685" w14:textId="77777777">
      <w:pPr>
        <w:pStyle w:val="ListParagraph"/>
        <w:numPr>
          <w:ilvl w:val="0"/>
          <w:numId w:val="20"/>
        </w:numPr>
        <w:spacing w:after="0" w:line="288" w:lineRule="auto"/>
        <w:ind w:left="851" w:hanging="284"/>
        <w:jc w:val="both"/>
      </w:pPr>
      <w:r>
        <w:rPr>
          <w:rFonts w:ascii="Times New Roman" w:hAnsi="Times New Roman"/>
        </w:rPr>
        <w:t>δημιουργία εθνικής πλατφόρμας πληροφόρησης σχετικά με την επισκευή και τους επισκευαστές.</w:t>
      </w:r>
    </w:p>
    <w:p w:rsidRPr="000A4F09" w:rsidR="00E90752" w:rsidP="00E90752" w:rsidRDefault="00E90752" w14:paraId="366C30A5" w14:textId="77777777">
      <w:pPr>
        <w:jc w:val="left"/>
        <w:rPr>
          <w:lang w:val="fr-BE"/>
        </w:rPr>
      </w:pPr>
    </w:p>
    <w:p w:rsidRPr="000A4F09" w:rsidR="00E90752" w:rsidP="00E90752" w:rsidRDefault="00E90752" w14:paraId="6F930C18" w14:textId="77777777">
      <w:pPr>
        <w:pStyle w:val="Heading2"/>
        <w:numPr>
          <w:ilvl w:val="0"/>
          <w:numId w:val="0"/>
        </w:numPr>
        <w:ind w:left="567"/>
      </w:pPr>
      <w:r>
        <w:t>Ωστόσο, ένα άρθρο τροποποιεί την οδηγία 2019/771 όσον αφορά τις διατάξεις για την έννομη προστασία των καταναλωτών σε περίπτωση μη συμμόρφωσης (νόμιμη εγγύηση). Δίνει προτεραιότητα στην επισκευή έναντι της αντικατάστασης σε περιπτώσεις όπου το κόστος της επισκευής είναι χαμηλότερο ή ίσο με την αντικατάσταση του προϊόντος.</w:t>
      </w:r>
    </w:p>
    <w:p w:rsidRPr="000A4F09" w:rsidR="00E90752" w:rsidP="00106AE0" w:rsidRDefault="00E90752" w14:paraId="7743F2F8" w14:textId="77777777">
      <w:pPr>
        <w:jc w:val="left"/>
        <w:rPr>
          <w:lang w:val="fr-BE"/>
        </w:rPr>
      </w:pPr>
    </w:p>
    <w:p w:rsidRPr="000A4F09" w:rsidR="00E90752" w:rsidP="00E90752" w:rsidRDefault="00E90752" w14:paraId="04CD16D9" w14:textId="77777777">
      <w:pPr>
        <w:pStyle w:val="Heading1"/>
        <w:keepNext/>
        <w:keepLines/>
        <w:rPr>
          <w:b/>
        </w:rPr>
      </w:pPr>
      <w:r>
        <w:rPr>
          <w:b/>
        </w:rPr>
        <w:t>Γενικές παρατηρήσεις</w:t>
      </w:r>
    </w:p>
    <w:p w:rsidRPr="000A4F09" w:rsidR="00E90752" w:rsidP="00E90752" w:rsidRDefault="00E90752" w14:paraId="4AF234F5" w14:textId="77777777">
      <w:pPr>
        <w:keepNext/>
        <w:keepLines/>
        <w:jc w:val="left"/>
        <w:rPr>
          <w:lang w:val="fr-BE"/>
        </w:rPr>
      </w:pPr>
    </w:p>
    <w:p w:rsidRPr="000A4F09" w:rsidR="00E90752" w:rsidP="00E90752" w:rsidRDefault="00E90752" w14:paraId="48E688B3" w14:textId="77777777">
      <w:pPr>
        <w:pStyle w:val="Heading2"/>
      </w:pPr>
      <w:r>
        <w:t>Η ΕΟΚΕ επικροτεί τους στόχους της πρότασης οδηγίας, δηλαδή την προώθηση ενός πραγματικού ευρωπαϊκού δικαιώματος επισκευής. Θεωρεί ότι η εν λόγω πράξη συμπληρώνει λυσιτελώς προηγούμενες νομοθετικές πράξεις σχετικά με τον οικολογικό σχεδιασμό των προϊόντων, με την ενδυνάμωση των Ευρωπαίων καταναλωτών και με την ενημέρωση των καταναλωτών για τους περιβαλλοντικούς ισχυρισμούς.</w:t>
      </w:r>
    </w:p>
    <w:p w:rsidRPr="000A4F09" w:rsidR="00E90752" w:rsidP="00E90752" w:rsidRDefault="00E90752" w14:paraId="4F1711DE" w14:textId="77777777">
      <w:pPr>
        <w:jc w:val="left"/>
        <w:rPr>
          <w:lang w:val="fr-BE"/>
        </w:rPr>
      </w:pPr>
    </w:p>
    <w:p w:rsidRPr="000A4F09" w:rsidR="00E90752" w:rsidP="00E90752" w:rsidRDefault="00E90752" w14:paraId="43155F7E" w14:textId="77777777">
      <w:pPr>
        <w:pStyle w:val="Heading2"/>
      </w:pPr>
      <w:r>
        <w:t>Ωστόσο, η ανάπτυξη της επισκευής πρέπει να αποτελέσει ευρωπαϊκή προτεραιότητα, όπως έχει διαπιστώσει η Ευρωπαϊκή Επιτροπή. Η επισκευή βρίσκεται στο επίκεντρο του επιχειρηματικού μοντέλου που οφείλει να προωθήσει η Ευρωπαϊκή Ένωση (ΕΕ), μαζί με τους οικονομικούς φορείς (κατασκευαστές, διανομείς κ.λπ.), τους καταναλωτές και, γενικότερα, τους Ευρωπαίους πολίτες. Η ΕΟΚΕ επιθυμεί λοιπόν να συμμεριστεί ένα όραμα για το «δικαίωμα επισκευής»: δεν μπορεί να περιορίζεται σε «τυπικό» ή «θεωρητικό» δικαίωμα. Η ευρωπαϊκή νομοθεσία πρέπει να βασίζεται στην αρχή της διασφάλισης της προσφοράς και της ζήτησης για ποιοτική επισκευή, εξασφαλίζοντας πραγματική πρόσβαση στην επισκευή και ενθαρρύνοντας τη σχετική επιλογή των καταναλωτών.</w:t>
      </w:r>
    </w:p>
    <w:p w:rsidRPr="000A4F09" w:rsidR="00E90752" w:rsidP="00E90752" w:rsidRDefault="00E90752" w14:paraId="25FD498E" w14:textId="77777777">
      <w:pPr>
        <w:pStyle w:val="Heading2"/>
        <w:numPr>
          <w:ilvl w:val="0"/>
          <w:numId w:val="0"/>
        </w:numPr>
        <w:ind w:left="567"/>
        <w:rPr>
          <w:lang w:val="fr-BE"/>
        </w:rPr>
      </w:pPr>
    </w:p>
    <w:p w:rsidRPr="000A4F09" w:rsidR="00E90752" w:rsidP="00E90752" w:rsidRDefault="00E90752" w14:paraId="00FB8BD4" w14:textId="77777777">
      <w:pPr>
        <w:pStyle w:val="Heading2"/>
      </w:pPr>
      <w:r>
        <w:t>Από περιβαλλοντική άποψη, η παράταση της διάρκειας ζωής ενός προϊόντος αποτελεί καίριο μέτρο για τη μείωση των επιπτώσεων της κατανάλωσης. Βεβαίως, η παράταση αυτή πρέπει να νοείται σε συνάρτηση με την ανάλυση του κύκλου ζωής, δεδομένου ότι δεν χρειάζεται να παραταθεί στο διηνεκές η διάρκεια ζωής όλων των προϊόντων. Ως εκ τούτου, η ΕΟΚΕ υποστηρίζει το μέτρο που συνδέει την υποχρέωση επισκευής με τη διάρκεια ζωής των προϊόντων, η οποία θα καθορίζεται στις κατ’ εξουσιοδότηση πράξεις ανά κατηγορία προϊόντων, που θα εκδίδονται στο πλαίσιο του μελλοντικού κανονισμού για τον οικολογικό σχεδιασμό των προϊόντων.</w:t>
      </w:r>
    </w:p>
    <w:p w:rsidRPr="000A4F09" w:rsidR="00E90752" w:rsidP="00E90752" w:rsidRDefault="00E90752" w14:paraId="4D30032E" w14:textId="77777777">
      <w:pPr>
        <w:rPr>
          <w:lang w:val="fr-BE"/>
        </w:rPr>
      </w:pPr>
    </w:p>
    <w:p w:rsidRPr="000A4F09" w:rsidR="00E90752" w:rsidP="00E90752" w:rsidRDefault="00E90752" w14:paraId="45F6DA46" w14:textId="77777777">
      <w:pPr>
        <w:pStyle w:val="Heading2"/>
      </w:pPr>
      <w:r>
        <w:t xml:space="preserve">Επιπλέον, η ΕΟΚΕ συμφωνεί με τον πρώτο κατάλογο των σχετικών προϊόντων, που εκτίθεται στο παράρτημα 2. Υποστηρίζει επίσης την ιδέα να συμπληρωθεί ο κατάλογος αυτός με τις κατηγορίες προϊόντων που θα καθορίζονται στις κατ’ εξουσιοδότηση πράξεις που αναφέρονται </w:t>
      </w:r>
      <w:r>
        <w:lastRenderedPageBreak/>
        <w:t>στο σημείο 3.3 ανωτέρω. Επομένως, ο σχεδιασμός των προϊόντων και η δυνατότητα επισκευής τους συνδέονται αυτομάτως με τις πληροφορίες που παρέχονται στον καταναλωτή και με την υποχρέωση επισκευής τους.</w:t>
      </w:r>
    </w:p>
    <w:p w:rsidRPr="000A4F09" w:rsidR="00E90752" w:rsidP="00E90752" w:rsidRDefault="00E90752" w14:paraId="2A207736" w14:textId="77777777">
      <w:pPr>
        <w:rPr>
          <w:lang w:val="fr-BE"/>
        </w:rPr>
      </w:pPr>
    </w:p>
    <w:p w:rsidRPr="000A4F09" w:rsidR="00E90752" w:rsidP="00E90752" w:rsidRDefault="00E90752" w14:paraId="3A8A2CE8" w14:textId="77777777">
      <w:pPr>
        <w:pStyle w:val="Heading2"/>
      </w:pPr>
      <w:r>
        <w:t xml:space="preserve">Από κοινωνική και οικονομική άποψη, η δυνατότητα επισκευής δημιουργεί αξία και ποιοτικές θέσεις εργασίας στην Ευρώπη. Σύμφωνα με μελέτη της ένωσης </w:t>
      </w:r>
      <w:proofErr w:type="spellStart"/>
      <w:r>
        <w:t>Gaïa</w:t>
      </w:r>
      <w:proofErr w:type="spellEnd"/>
      <w:r w:rsidRPr="000A4F09">
        <w:rPr>
          <w:vertAlign w:val="superscript"/>
          <w:lang w:val="fr-BE"/>
        </w:rPr>
        <w:footnoteReference w:id="2"/>
      </w:r>
      <w:r>
        <w:t>, ο κλάδος της επισκευής δημιουργεί 404 θέσεις εργασίας ανά 10 000 τόνους επεξεργαζόμενων προϊόντων, ήτοι πενήντα φορές περισσότερες από τη διάθεση αποβλήτων. Ωστόσο, η ΕΟΚΕ εκφράζει την ανησυχία της για το γεγονός ότι η επαγγελματική κατάρτιση και οι τεχνικές δεξιότητες που απαιτούνται για την πραγματική άσκηση του δικαιώματος αυτού δεν επαρκούν. Ως εκ τούτου, καλεί την Επιτροπή να θέσει σε εφαρμογή, σε στενή συνεργασία με τις επαγγελματικές οργανώσεις, όλα τα αναγκαία μέσα για την ανάπτυξη της αρχικής κατάρτισης και της διαρκούς επιμόρφωσης στον τομέα των επισκευών.</w:t>
      </w:r>
    </w:p>
    <w:p w:rsidRPr="000A4F09" w:rsidR="00E90752" w:rsidP="00E90752" w:rsidRDefault="00E90752" w14:paraId="61E99566" w14:textId="77777777">
      <w:pPr>
        <w:rPr>
          <w:lang w:val="fr-BE"/>
        </w:rPr>
      </w:pPr>
    </w:p>
    <w:p w:rsidRPr="000A4F09" w:rsidR="00E90752" w:rsidP="00E90752" w:rsidRDefault="00E90752" w14:paraId="59155114" w14:textId="77777777">
      <w:pPr>
        <w:pStyle w:val="Heading2"/>
      </w:pPr>
      <w:r>
        <w:t>Επιπλέον, η επισκευή ενέχει μεγάλο δυναμικό αύξησης της αγοραστικής δύναμης, ιδίως για τις πλέον μειονεκτούσες ομάδες, οι οποίες αναγκάζονται κατά κανόνα να ανανεώνουν πρόωρα τις αγορές τους.</w:t>
      </w:r>
    </w:p>
    <w:p w:rsidRPr="000A4F09" w:rsidR="00E90752" w:rsidP="00E90752" w:rsidRDefault="00E90752" w14:paraId="21D4631B" w14:textId="77777777">
      <w:pPr>
        <w:rPr>
          <w:lang w:val="fr-BE"/>
        </w:rPr>
      </w:pPr>
    </w:p>
    <w:p w:rsidRPr="000A4F09" w:rsidR="00E90752" w:rsidP="00E90752" w:rsidRDefault="00E90752" w14:paraId="6BEAB96E" w14:textId="77777777">
      <w:pPr>
        <w:pStyle w:val="Heading2"/>
      </w:pPr>
      <w:r>
        <w:t>Η ΕΟΚΕ εκφράζει την ικανοποίησή της για το γεγονός ότι η Ευρωπαϊκή Επιτροπή, στην πρόταση οδηγίας, έλαβε δεόντως υπόψη την ανάγκη ανάληψης δράσης τόσο σχετικά με το πλαίσιο της εγγύησης όσο και με την περίοδο εκτός εγγύησης. Αυτό καθίσταται ακόμη πιο σημαντικό καθώς το πλαίσιο που διέπει τη διάρκεια της νόμιμης εγγύησης είναι ανομοιογενές (2 έτη στις περισσότερες χώρες, 3 έτη στην Ελλάδα, για ολόκληρη την εκτιμώμενη διάρκεια ζωής του προϊόντος στη Φινλανδία και τις Κάτω Χώρες). Η αύξηση της διαφάνειας και της σαφήνειας των πρακτικών σε θέματα επισκευής σε ευρωπαϊκή κλίμακα, ή ακόμη και η εναρμόνιση των νομικών πλαισίων προς το υψηλότερο επίπεδο, αποτελούν επίσης απαραίτητη προϋπόθεση για την ευρύτερη άσκηση του δικαιώματος επισκευής.</w:t>
      </w:r>
    </w:p>
    <w:p w:rsidRPr="000A4F09" w:rsidR="00E90752" w:rsidP="00E90752" w:rsidRDefault="00E90752" w14:paraId="26D89AC3" w14:textId="77777777">
      <w:pPr>
        <w:rPr>
          <w:lang w:val="fr-BE"/>
        </w:rPr>
      </w:pPr>
    </w:p>
    <w:p w:rsidRPr="000A4F09" w:rsidR="00E90752" w:rsidP="00E90752" w:rsidRDefault="00E90752" w14:paraId="5EB5F099" w14:textId="77777777">
      <w:pPr>
        <w:pStyle w:val="Heading1"/>
        <w:keepNext/>
        <w:keepLines/>
        <w:rPr>
          <w:b/>
        </w:rPr>
      </w:pPr>
      <w:r>
        <w:rPr>
          <w:b/>
        </w:rPr>
        <w:t>Ειδικές παρατηρήσεις</w:t>
      </w:r>
    </w:p>
    <w:p w:rsidRPr="000A4F09" w:rsidR="00E90752" w:rsidP="00E90752" w:rsidRDefault="00E90752" w14:paraId="04DBFB8C" w14:textId="77777777">
      <w:pPr>
        <w:keepNext/>
        <w:keepLines/>
        <w:rPr>
          <w:bCs/>
          <w:lang w:val="fr-BE"/>
        </w:rPr>
      </w:pPr>
    </w:p>
    <w:p w:rsidRPr="000A4F09" w:rsidR="00E90752" w:rsidP="00E90752" w:rsidRDefault="00E90752" w14:paraId="064DD4CC" w14:textId="77777777">
      <w:pPr>
        <w:pStyle w:val="Heading2"/>
        <w:numPr>
          <w:ilvl w:val="0"/>
          <w:numId w:val="0"/>
        </w:numPr>
        <w:ind w:left="567"/>
      </w:pPr>
      <w:r>
        <w:t>Στις ειδικές παρατηρήσεις εξετάζονται οι λύσεις βελτίωσης βάσει των προτάσεων της Ευρωπαϊκής Επιτροπής, με γνώμονα τον εξής στόχο: να καταστεί η επισκευή ελκυστικότερη για τον καταναλωτή από την αντικατάσταση.</w:t>
      </w:r>
    </w:p>
    <w:p w:rsidRPr="000A4F09" w:rsidR="00E90752" w:rsidP="00E90752" w:rsidRDefault="00E90752" w14:paraId="72E94CA8" w14:textId="77777777">
      <w:pPr>
        <w:rPr>
          <w:lang w:val="fr-BE"/>
        </w:rPr>
      </w:pPr>
    </w:p>
    <w:p w:rsidRPr="000A4F09" w:rsidR="00E90752" w:rsidP="00E90752" w:rsidRDefault="00E90752" w14:paraId="7B2EABDC" w14:textId="77777777">
      <w:pPr>
        <w:pStyle w:val="Heading2"/>
        <w:keepNext/>
        <w:keepLines/>
        <w:rPr>
          <w:b/>
        </w:rPr>
      </w:pPr>
      <w:r>
        <w:rPr>
          <w:b/>
        </w:rPr>
        <w:t>Βελτίωση της πληροφόρησης των καταναλωτών</w:t>
      </w:r>
    </w:p>
    <w:p w:rsidRPr="000A4F09" w:rsidR="00E90752" w:rsidP="00E90752" w:rsidRDefault="00E90752" w14:paraId="4884073D" w14:textId="77777777">
      <w:pPr>
        <w:keepNext/>
        <w:keepLines/>
        <w:rPr>
          <w:lang w:val="fr-BE"/>
        </w:rPr>
      </w:pPr>
    </w:p>
    <w:p w:rsidRPr="000A4F09" w:rsidR="00E90752" w:rsidP="00E90752" w:rsidRDefault="00E90752" w14:paraId="0C1693CB" w14:textId="77777777">
      <w:pPr>
        <w:pStyle w:val="Heading3"/>
      </w:pPr>
      <w:r>
        <w:t xml:space="preserve">Η ΕΟΚΕ εκφράζει την ικανοποίησή της για την πρόταση της Επιτροπής να βελτιωθεί η ενημέρωση των καταναλωτών με την εξασφάλιση της ύπαρξης πλατφόρμας σε κάθε κράτος μέλος, η οποία θα καθιστά δυνατό τον εντοπισμό των λύσεων επισκευής. Είναι σημαντικό να καθοριστούν οι όροι δημιουργίας και διαχείρισης της πλατφόρμας αυτής, ώστε να εξασφαλιστεί ότι οι πληροφορίες θα είναι πλήρεις και </w:t>
      </w:r>
      <w:proofErr w:type="spellStart"/>
      <w:r>
        <w:t>επικαιροποιημένες</w:t>
      </w:r>
      <w:proofErr w:type="spellEnd"/>
      <w:r>
        <w:t>.</w:t>
      </w:r>
    </w:p>
    <w:p w:rsidRPr="000A4F09" w:rsidR="00E90752" w:rsidP="00E90752" w:rsidRDefault="00E90752" w14:paraId="5930840C" w14:textId="77777777">
      <w:pPr>
        <w:rPr>
          <w:lang w:val="fr-BE"/>
        </w:rPr>
      </w:pPr>
    </w:p>
    <w:p w:rsidRPr="000A4F09" w:rsidR="00E90752" w:rsidP="00E90752" w:rsidRDefault="00E90752" w14:paraId="3546AE21" w14:textId="77777777">
      <w:pPr>
        <w:pStyle w:val="Heading3"/>
      </w:pPr>
      <w:r>
        <w:lastRenderedPageBreak/>
        <w:t xml:space="preserve">Η πρακτική της επισκευής απαιτεί διαφάνεια των όρων που συνδέονται με την επισκευή, σε σύγκριση με την αντικατάσταση του προϊόντος. Ο ανταγωνισμός μεταξύ υπηρεσιών επισκευής και η διαφάνεια των τιμών, των όρων και της ποιότητας της επισκευής, που απορρέουν από την υποχρέωση κατάρτισης εντύπου πληροφοριών επισκευής, θα δώσουν στους καταναλωτές τη δυνατότητα να επιτυγχάνουν καλύτερες προσφορές και, ως εκ τούτου, θα αυξηθεί ο αριθμός των επισκευών. Κατά συνέπεια, η ΕΟΚΕ επικροτεί την πρόθεση εναρμόνισης των πληροφοριών που παρέχουν οι επισκευαστές με την πρόταση ευρωπαϊκού εντύπου. Καλεί τους </w:t>
      </w:r>
      <w:proofErr w:type="spellStart"/>
      <w:r>
        <w:t>συννομοθέτες</w:t>
      </w:r>
      <w:proofErr w:type="spellEnd"/>
      <w:r>
        <w:t xml:space="preserve"> να εξασφαλίσουν τη συνέπεια μεταξύ της υπό εξέταση πρότασης, της πρότασης για τον οικολογικό σχεδιασμό των προϊόντων και των προτάσεων για τους περιβαλλοντικούς ισχυρισμούς.</w:t>
      </w:r>
    </w:p>
    <w:p w:rsidRPr="000A4F09" w:rsidR="00E90752" w:rsidP="00E90752" w:rsidRDefault="00E90752" w14:paraId="739305CC" w14:textId="77777777">
      <w:pPr>
        <w:rPr>
          <w:lang w:val="fr-BE"/>
        </w:rPr>
      </w:pPr>
    </w:p>
    <w:p w:rsidRPr="000A4F09" w:rsidR="00E90752" w:rsidP="00E90752" w:rsidRDefault="00E90752" w14:paraId="6A524CD5" w14:textId="77777777">
      <w:pPr>
        <w:pStyle w:val="Heading3"/>
      </w:pPr>
      <w:r>
        <w:t>Η ΕΟΚΕ υποστηρίζει εξάλλου τη δημιουργία ενός εναρμονισμένου σε ευρωπαϊκό επίπεδο δείκτη δυνατότητας επισκευής για κάθε κατηγορία προϊόντων, όπως προβλέπεται στο σχέδιο κανονισμού για τον οικολογικό σχεδιασμό των προϊόντων και όπως έχει συστήσει στο παρελθόν η ΕΟΚΕ. Καλεί τα κράτη μέλη να δεσμευτούν για τη δημιουργία ενός τέτοιου δείκτη, σύμφωνα με το ευρωπαϊκό εγχείρημα, διαφορετικά θα αυξηθεί το κόστος για τα ενδιαφερόμενα μέρη και θα προκληθεί σύγχυση στον καταναλωτή.</w:t>
      </w:r>
    </w:p>
    <w:p w:rsidRPr="000A4F09" w:rsidR="00E90752" w:rsidP="00E90752" w:rsidRDefault="00E90752" w14:paraId="725A6C9B" w14:textId="77777777">
      <w:pPr>
        <w:rPr>
          <w:lang w:val="fr-BE"/>
        </w:rPr>
      </w:pPr>
    </w:p>
    <w:p w:rsidRPr="000A4F09" w:rsidR="00E90752" w:rsidP="00E90752" w:rsidRDefault="00E90752" w14:paraId="12055F5C" w14:textId="77777777">
      <w:pPr>
        <w:pStyle w:val="Heading3"/>
      </w:pPr>
      <w:r>
        <w:t>Τέλος, απαιτείται μια πανευρωπαϊκή εκστρατεία ενημέρωσης και ευαισθητοποίησης για να γίνουν κατανοητά τα πλεονεκτήματα της επισκευής και της αρχής «ας αγοράζουμε καλύτερα προϊόντα αντί για περισσότερα προϊόντα». Στην εκστρατεία ευαισθητοποίησης θα πρέπει να υπάρξει μέριμνα για την αποσαφήνιση των πληροφοριών σχετικά με τις πρακτικές συντήρησης που πρέπει να εφαρμόζει ο καταναλωτής. Από αυτή την άποψη, η ΕΟΚΕ υποστηρίζει τα μέτρα που προτείνονται στην πρόταση οδηγίας σχετικά με τους οικολογικούς ισχυρισμούς.</w:t>
      </w:r>
    </w:p>
    <w:p w:rsidRPr="000A4F09" w:rsidR="00E90752" w:rsidP="00E90752" w:rsidRDefault="00E90752" w14:paraId="7328195F" w14:textId="77777777">
      <w:pPr>
        <w:rPr>
          <w:lang w:val="fr-BE"/>
        </w:rPr>
      </w:pPr>
    </w:p>
    <w:p w:rsidRPr="000A4F09" w:rsidR="00E90752" w:rsidP="00E90752" w:rsidRDefault="00E90752" w14:paraId="64624041" w14:textId="77777777">
      <w:pPr>
        <w:pStyle w:val="Heading2"/>
        <w:keepNext/>
        <w:keepLines/>
        <w:rPr>
          <w:b/>
        </w:rPr>
      </w:pPr>
      <w:r>
        <w:rPr>
          <w:b/>
        </w:rPr>
        <w:t>Διευκόλυνση της πρακτικής της επισκευής</w:t>
      </w:r>
    </w:p>
    <w:p w:rsidRPr="000A4F09" w:rsidR="00E90752" w:rsidP="00E90752" w:rsidRDefault="00E90752" w14:paraId="2847E970" w14:textId="77777777">
      <w:pPr>
        <w:keepNext/>
        <w:keepLines/>
        <w:rPr>
          <w:bCs/>
          <w:lang w:val="fr-BE"/>
        </w:rPr>
      </w:pPr>
    </w:p>
    <w:p w:rsidRPr="000A4F09" w:rsidR="00E90752" w:rsidP="00E90752" w:rsidRDefault="00E90752" w14:paraId="69D32FC6" w14:textId="77777777">
      <w:pPr>
        <w:pStyle w:val="Heading3"/>
      </w:pPr>
      <w:r>
        <w:t>Η πρακτική της επισκευής νοείται κατ’ αρχάς κατά τη διάρκεια της περιόδου εγγύησης. Επί του προκειμένου, η πρόκριση της επισκευής έναντι της αντικατάστασης με νέο προϊόν, την οποία έχει ήδη επικροτήσει η ΕΟΚΕ στη γνωμοδότησή της σχετικά με την ενδυνάμωση των καταναλωτών για την πράσινη μετάβαση</w:t>
      </w:r>
      <w:r w:rsidRPr="000A4F09">
        <w:rPr>
          <w:rStyle w:val="FootnoteReference"/>
          <w:lang w:val="fr-BE"/>
        </w:rPr>
        <w:footnoteReference w:id="3"/>
      </w:r>
      <w:r>
        <w:t xml:space="preserve">, τίθεται δεόντως σε εφαρμογή. Όντως, σε περίπτωση κόστους ισοδύναμου ή χαμηλότερου από το κόστος αντικατάστασης, ο πωλητής οφείλει να επισκευάσει τα αγαθά, εκτός εάν η επιλογή της επισκευής είναι δυσανάλογα δαπανηρή ή ανέφικτη. Επομένως, επηρεάζεται επίσης η επιλογή του καταναλωτή μεταξύ αντικατάστασης και επισκευής. Ωστόσο, ο καταναλωτής διατηρεί τη δυνατότητα να ζητήσει αντικατάσταση σε περίπτωση σημαντικού προβλήματος, πράγμα που μπορεί να ισχύει για προϊόντα που είναι αναγκαία για την καθημερινή ή την επαγγελματική ζωή του. </w:t>
      </w:r>
    </w:p>
    <w:p w:rsidRPr="000A4F09" w:rsidR="00E90752" w:rsidP="00E90752" w:rsidRDefault="00E90752" w14:paraId="65DCA0B6" w14:textId="77777777">
      <w:pPr>
        <w:rPr>
          <w:lang w:val="fr-BE"/>
        </w:rPr>
      </w:pPr>
    </w:p>
    <w:p w:rsidRPr="000A4F09" w:rsidR="00E90752" w:rsidP="00E90752" w:rsidRDefault="00E90752" w14:paraId="5C0E4187" w14:textId="77777777">
      <w:pPr>
        <w:pStyle w:val="Heading3"/>
      </w:pPr>
      <w:r>
        <w:t xml:space="preserve">Επιπλέον, η ΕΟΚΕ είναι της γνώμης ότι η δυνατότητα του διανομέα να στραφεί κατά του κατασκευαστή πρέπει να κατοχυρωθεί σε διατάξεις δικαίου υποχρεωτικού χαρακτήρα και, επομένως, να διασφαλιστεί, προκειμένου το μέτρο αυτό να καταστεί λειτουργικό και οικονομικά βιώσιμο. Η υποχρέωση επισκευής που βαρύνει τον διανομέα ανεξάρτητα από το κόστος πρέπει να συνοδεύεται από πραγματική δυνατότητα του διανομέα να στραφεί κατά του κατασκευαστή όσον αφορά την πρόσβαση στα ανταλλακτικά και την από κοινού κάλυψη του </w:t>
      </w:r>
      <w:r>
        <w:lastRenderedPageBreak/>
        <w:t>κόστους. Η υποχρέωση αυτή πρέπει να είναι αρκετά απλή στην εφαρμογή της ώστε να είναι σε θέση να την εκπληρώνουν οι μικρομεσαίες επιχειρήσεις (ΜΜΕ).</w:t>
      </w:r>
    </w:p>
    <w:p w:rsidRPr="000A4F09" w:rsidR="00E90752" w:rsidP="00E90752" w:rsidRDefault="00E90752" w14:paraId="29F4C8F6" w14:textId="77777777">
      <w:pPr>
        <w:rPr>
          <w:lang w:val="fr-BE"/>
        </w:rPr>
      </w:pPr>
    </w:p>
    <w:p w:rsidRPr="000A4F09" w:rsidR="00E90752" w:rsidP="00E90752" w:rsidRDefault="00E90752" w14:paraId="2ECE54F1" w14:textId="77777777">
      <w:pPr>
        <w:pStyle w:val="Heading3"/>
      </w:pPr>
      <w:r>
        <w:t>Μία από τις σημαντικές προόδους του κειμένου έγκειται επίσης στην υποχρέωση του παραγωγού να επισκευάζει τα αγαθά που κατασκευάζει πέραν της νόμιμης περιόδου εγγύησης. Για λόγους ανταγωνισμού, είναι σημαντικό η υποχρέωση αυτή να ισχύει και για τους παραγωγούς εκτός ΕΕ. Συνεπώς, η ΕΟΚΕ επαναλαμβάνει την ανάγκη εφαρμογής της ευθύνης των εξουσιοδοτημένων αντιπροσώπων ή ακόμη και των κέντρων διανομής.</w:t>
      </w:r>
    </w:p>
    <w:p w:rsidRPr="000A4F09" w:rsidR="00E90752" w:rsidP="00E90752" w:rsidRDefault="00E90752" w14:paraId="3C9D77A5" w14:textId="77777777">
      <w:pPr>
        <w:rPr>
          <w:lang w:val="fr-BE"/>
        </w:rPr>
      </w:pPr>
    </w:p>
    <w:p w:rsidRPr="000A4F09" w:rsidR="00E90752" w:rsidP="00E90752" w:rsidRDefault="00E90752" w14:paraId="0003C378" w14:textId="77777777">
      <w:pPr>
        <w:pStyle w:val="Heading3"/>
      </w:pPr>
      <w:r>
        <w:t>Ένα άλλο θέμα είναι ότι η εδαφική κάλυψη των υπηρεσιών επισκευής αποτελεί ισχυρή προϋπόθεση για την ενθάρρυνση της προσφυγής στην επισκευή. Κατά την ΕΟΚΕ, υπάρχει ανάγκη για περισσότερους επισκευαστές στην Ευρώπη και, ως εκ τούτου, για μια αποφασιστική πολιτική επαγγελματικής κατάρτισης στον τομέα των επισκευών. Η πολιτική αυτή είναι ακόμη πιο αναγκαία, καθώς το επάγγελμα των επισκευαστών έχει εξελιχθεί σημαντικά, με την άνθηση των ψηφιακών τεχνολογιών και των συνδεδεμένων αντικειμένων. Πέρα από την κατάρτιση, θα υπάρξει επίσης ανάγκη για καλά αμειβόμενες και ποιοτικές θέσεις εργασίας, δεδομένου ότι πολλά κράτη μέλη αντιμετωπίζουν ήδη έλλειψη ειδικευμένου εργατικού δυναμικού, ιδίως στη βιοτεχνία.</w:t>
      </w:r>
    </w:p>
    <w:p w:rsidRPr="000A4F09" w:rsidR="00E90752" w:rsidP="00E90752" w:rsidRDefault="00E90752" w14:paraId="2B6E93DC" w14:textId="77777777">
      <w:pPr>
        <w:rPr>
          <w:lang w:val="fr-BE"/>
        </w:rPr>
      </w:pPr>
    </w:p>
    <w:p w:rsidRPr="000A4F09" w:rsidR="00E90752" w:rsidP="00E90752" w:rsidRDefault="00E90752" w14:paraId="4C2B1A6A" w14:textId="77777777">
      <w:pPr>
        <w:pStyle w:val="Heading3"/>
      </w:pPr>
      <w:r>
        <w:t>Η ανάπτυξη των υπηρεσιών επισκευής προϋποθέτει οι ανεξάρτητοι επισκευαστές να μπορούν να έχουν τις ίδιες ευκαιρίες με τους εξουσιοδοτημένους από τον κατασκευαστή επισκευαστές. Εξάλλου, η ΕΟΚΕ είναι της γνώμης ότι η Ευρωπαϊκή Επιτροπή θα πρέπει να υποστηρίξει και να ενθαρρύνει την ανάπτυξη νέων επιχειρηματικών μοντέλων, όπως οι επαγγελματικές υπηρεσίες επισκευής, τα συνεργεία επισκευής, οι καφετέριες όπου προσφέρονται υπηρεσίες συνδρομής για επισκευές κ.λπ. Συνιστά λοιπόν να υπάρχουν περισσότερα σημεία πρόσβασης σε επισκευές.</w:t>
      </w:r>
    </w:p>
    <w:p w:rsidRPr="000A4F09" w:rsidR="00E90752" w:rsidP="00E90752" w:rsidRDefault="00E90752" w14:paraId="2CA144B7" w14:textId="77777777">
      <w:pPr>
        <w:rPr>
          <w:lang w:val="fr-BE"/>
        </w:rPr>
      </w:pPr>
    </w:p>
    <w:p w:rsidRPr="000A4F09" w:rsidR="00E90752" w:rsidP="00E90752" w:rsidRDefault="00E90752" w14:paraId="41D5E75D" w14:textId="77777777">
      <w:pPr>
        <w:pStyle w:val="Heading2"/>
        <w:keepNext/>
        <w:keepLines/>
        <w:rPr>
          <w:b/>
        </w:rPr>
      </w:pPr>
      <w:r>
        <w:rPr>
          <w:b/>
        </w:rPr>
        <w:t>Προώθηση της δυνατότητας επισκευής των προϊόντων από τον σχεδιασμό τους και πέραν αυτού</w:t>
      </w:r>
    </w:p>
    <w:p w:rsidRPr="000A4F09" w:rsidR="00E90752" w:rsidP="00E90752" w:rsidRDefault="00E90752" w14:paraId="4619AE2E" w14:textId="77777777">
      <w:pPr>
        <w:pStyle w:val="Heading3"/>
        <w:keepNext/>
        <w:keepLines/>
        <w:numPr>
          <w:ilvl w:val="0"/>
          <w:numId w:val="0"/>
        </w:numPr>
        <w:ind w:left="567"/>
        <w:rPr>
          <w:lang w:val="fr-BE"/>
        </w:rPr>
      </w:pPr>
    </w:p>
    <w:p w:rsidRPr="000A4F09" w:rsidR="00E90752" w:rsidP="00E90752" w:rsidRDefault="00E90752" w14:paraId="623BFAEB" w14:textId="77777777">
      <w:pPr>
        <w:pStyle w:val="Heading3"/>
        <w:keepNext/>
        <w:keepLines/>
      </w:pPr>
      <w:r>
        <w:t>Όσον αφορά τις πρακτικές τεχνητής γήρανσης, παρότι αποτελούν πράγματι εμπόδιο στην επισκευή, η ΕΟΚΕ θεωρεί ότι αντιμετωπίζονται πιο συγκεκριμένα σε άλλες οδηγίες.</w:t>
      </w:r>
    </w:p>
    <w:p w:rsidRPr="000A4F09" w:rsidR="00E90752" w:rsidP="00E90752" w:rsidRDefault="00E90752" w14:paraId="3215EBE7" w14:textId="77777777">
      <w:pPr>
        <w:rPr>
          <w:lang w:val="fr-BE"/>
        </w:rPr>
      </w:pPr>
    </w:p>
    <w:p w:rsidRPr="000A4F09" w:rsidR="00E90752" w:rsidP="00E90752" w:rsidRDefault="00E90752" w14:paraId="0E07D14A" w14:textId="77777777">
      <w:pPr>
        <w:pStyle w:val="Heading3"/>
      </w:pPr>
      <w:r>
        <w:t>Ωστόσο, θα ήταν συνεπές να βασιστεί η Ευρωπαϊκή Επιτροπή στο υπό εξέταση κείμενο σχετικά με την επισκευή, για να ζητήσει από τα κράτη μέλη να απαγορεύσουν κάθε πρακτική εσκεμμένης αδυναμίας επισκευής. Δεν μπορεί να υπάρξει δικαίωμα επισκευής αν τα αντικείμενα δεν επιδέχονται, εκ του σχεδιασμού τους, επισκευή.</w:t>
      </w:r>
    </w:p>
    <w:p w:rsidRPr="000A4F09" w:rsidR="00E90752" w:rsidP="00E90752" w:rsidRDefault="00E90752" w14:paraId="5CF4CB96" w14:textId="77777777">
      <w:pPr>
        <w:rPr>
          <w:lang w:val="fr-BE"/>
        </w:rPr>
      </w:pPr>
    </w:p>
    <w:p w:rsidRPr="000A4F09" w:rsidR="00E90752" w:rsidP="00E90752" w:rsidRDefault="00E90752" w14:paraId="3633332D" w14:textId="77777777">
      <w:pPr>
        <w:pStyle w:val="Heading3"/>
      </w:pPr>
      <w:r>
        <w:t xml:space="preserve">Οι πρακτικές </w:t>
      </w:r>
      <w:proofErr w:type="spellStart"/>
      <w:r>
        <w:t>σειριοποίησης</w:t>
      </w:r>
      <w:proofErr w:type="spellEnd"/>
      <w:r>
        <w:t xml:space="preserve"> ή σύζευξης παρεμποδίζουν ή αποκλείουν την αντικατάσταση στοιχείων ενός προϊόντος μέσω της σήμανσης ορισμένων εξαρτημάτων με αύξοντα αριθμό. </w:t>
      </w:r>
      <w:r>
        <w:br/>
        <w:t xml:space="preserve">Σε περίπτωση αντικατάστασης ενός </w:t>
      </w:r>
      <w:proofErr w:type="spellStart"/>
      <w:r>
        <w:t>σειριοποιημένου</w:t>
      </w:r>
      <w:proofErr w:type="spellEnd"/>
      <w:r>
        <w:t xml:space="preserve"> στοιχείου, εάν ο αριθμός δεν είναι ο αριθμός που έχει καταγραφεί στη μητρική πλακέτα, η πλακέτα μεταβάλλει ή αναστέλλει τη λειτουργία της συσκευής. Με την πρακτική αυτή περιορίζεται η ικανότητα επισκευής αποκλειστικά στο τεχνικό δίκτυο που έχει εξουσιοδοτηθεί ή πιστοποιηθεί από τον κατασκευαστή, εις βάρος των ανεξάρτητων επισκευαστών και των </w:t>
      </w:r>
      <w:proofErr w:type="spellStart"/>
      <w:r>
        <w:t>ανασυσκευαστών</w:t>
      </w:r>
      <w:proofErr w:type="spellEnd"/>
      <w:r>
        <w:t xml:space="preserve">, ενώ καθίσταται επίσης αδύνατη η χρήση εξαρτημάτων προερχόμενων από την κυκλική οικονομία. </w:t>
      </w:r>
      <w:r>
        <w:lastRenderedPageBreak/>
        <w:t>Η ΕΟΚΕ ζητεί από την Ευρωπαϊκή Επιτροπή και τα κράτη μέλη να απαγορεύσουν και να τιμωρούν αυτού του είδους τις πρακτικές, οι οποίες εμποδίζουν καταφανώς την επισκευή.</w:t>
      </w:r>
    </w:p>
    <w:p w:rsidR="006B38CF" w:rsidP="006B38CF" w:rsidRDefault="006B38CF" w14:paraId="72E3BEDE" w14:textId="77777777">
      <w:pPr>
        <w:pStyle w:val="Heading3"/>
        <w:numPr>
          <w:ilvl w:val="0"/>
          <w:numId w:val="0"/>
        </w:numPr>
      </w:pPr>
    </w:p>
    <w:p w:rsidRPr="000A4F09" w:rsidR="00E90752" w:rsidP="00E90752" w:rsidRDefault="00E90752" w14:paraId="41854725" w14:textId="514583F2">
      <w:pPr>
        <w:pStyle w:val="Heading3"/>
      </w:pPr>
      <w:r>
        <w:t>Στο σχέδιο νομοθετήματος για τον οικολογικό σχεδιασμό των προϊόντων προβλέπεται για πόσο χρονικό διάστημα πρέπει να υπάρχουν διαθέσιμα ανταλλακτικά ανά κατηγορία προϊόντων. Ωστόσο, δεδομένων των προκλήσεων που συνδέονται με την έλλειψη πρώτων υλών, η ΕΟΚΕ καλεί την Ευρωπαϊκή Επιτροπή να ενθαρρύνει την παραγωγή ανταλλακτικών με τη χρήση τρισδιάστατης εκτύπωσης. Αυτό προϋποθέτει να δημοσιεύουν οι παραγωγοί τα τρισδιάστατα σχέδιά τους, όπως ορισμένοι το έχουν ήδη πράξει τα τελευταία χρόνια, όταν παύουν να παράγουν οι ίδιοι τα εν λόγω εξαρτήματα. Με την ευκαιρία της επικείμενης αναθεώρησης του καθεστώτος διανοητικής ιδιοκτησίας, η ΕΟΚΕ καλεί την Επιτροπή να εξετάσει κατά πόσον θα ήταν σκόπιμη η προώθηση της ανταλλαγής δεδομένων για τα εν λόγω εξαρτήματα και η κοινοποίηση των σχετικών πληροφοριών μέσω της πλατφόρμας.</w:t>
      </w:r>
    </w:p>
    <w:p w:rsidRPr="000A4F09" w:rsidR="00E90752" w:rsidP="00E90752" w:rsidRDefault="00E90752" w14:paraId="31072A70" w14:textId="77777777">
      <w:pPr>
        <w:rPr>
          <w:lang w:val="fr-BE"/>
        </w:rPr>
      </w:pPr>
    </w:p>
    <w:p w:rsidRPr="000A4F09" w:rsidR="00E90752" w:rsidP="00E90752" w:rsidRDefault="00E90752" w14:paraId="7AF3D5EA" w14:textId="77777777">
      <w:pPr>
        <w:pStyle w:val="Heading3"/>
      </w:pPr>
      <w:r>
        <w:t>Η ΕΟΚΕ επιθυμεί να υποστηρίξει η ΕΕ τον κλάδο της ανακατασκευής συσκευών, καθόσον ο εν λόγω κλάδος επιδιώκει τους ίδιους οικονομικούς και περιβαλλοντικούς στόχους με την επισκευή.</w:t>
      </w:r>
    </w:p>
    <w:p w:rsidRPr="000A4F09" w:rsidR="00E90752" w:rsidP="00E90752" w:rsidRDefault="00E90752" w14:paraId="776259EE" w14:textId="77777777">
      <w:pPr>
        <w:jc w:val="left"/>
        <w:rPr>
          <w:lang w:val="fr-BE"/>
        </w:rPr>
      </w:pPr>
    </w:p>
    <w:p w:rsidRPr="000A4F09" w:rsidR="00E90752" w:rsidP="00E90752" w:rsidRDefault="00E90752" w14:paraId="1320FD45" w14:textId="77777777">
      <w:pPr>
        <w:pStyle w:val="Heading2"/>
        <w:keepNext/>
        <w:keepLines/>
        <w:rPr>
          <w:b/>
        </w:rPr>
      </w:pPr>
      <w:r>
        <w:rPr>
          <w:b/>
        </w:rPr>
        <w:t>Δράσεις για το κόστος επισκευής</w:t>
      </w:r>
    </w:p>
    <w:p w:rsidRPr="000A4F09" w:rsidR="00E90752" w:rsidP="00E90752" w:rsidRDefault="00E90752" w14:paraId="73A0F2A4" w14:textId="77777777">
      <w:pPr>
        <w:keepNext/>
        <w:keepLines/>
        <w:jc w:val="left"/>
        <w:rPr>
          <w:lang w:val="fr-BE"/>
        </w:rPr>
      </w:pPr>
    </w:p>
    <w:p w:rsidRPr="000A4F09" w:rsidR="00E90752" w:rsidP="00E90752" w:rsidRDefault="00E90752" w14:paraId="00896EB9" w14:textId="77777777">
      <w:pPr>
        <w:pStyle w:val="Heading3"/>
      </w:pPr>
      <w:r>
        <w:t xml:space="preserve">Δεδομένου ότι το κόστος της επισκευής αποτελεί ένα από τα κύρια εμπόδια, είναι αναγκαίο να συμπληρωθούν οι διατάξεις της προτεινόμενης οδηγίας με προτάσεις για τη μείωση του κόστους επισκευής για τον καταναλωτή. </w:t>
      </w:r>
    </w:p>
    <w:p w:rsidRPr="000A4F09" w:rsidR="00E90752" w:rsidP="00E90752" w:rsidRDefault="00E90752" w14:paraId="33696D79" w14:textId="77777777">
      <w:pPr>
        <w:rPr>
          <w:lang w:val="fr-BE"/>
        </w:rPr>
      </w:pPr>
    </w:p>
    <w:p w:rsidRPr="000A4F09" w:rsidR="00E90752" w:rsidP="00E90752" w:rsidRDefault="00E90752" w14:paraId="6E99929F" w14:textId="77777777">
      <w:pPr>
        <w:pStyle w:val="Heading3"/>
      </w:pPr>
      <w:r>
        <w:t xml:space="preserve">Εκτός του πλαισίου της νόμιμης εγγύησης, κατά την ΕΟΚΕ, η ευρεία χρήση του εντύπου πληροφοριών ενθαρρύνει την πρακτική της επισκευής και επιφέρει μείωση του κόστους επισκευής, καθότι μέσω αυτού υπάρχει ενημέρωση σχετικά με την τιμή της επισκευής καθώς και ανταγωνισμός μεταξύ των επισκευαστών. </w:t>
      </w:r>
    </w:p>
    <w:p w:rsidRPr="000A4F09" w:rsidR="00E90752" w:rsidP="00E90752" w:rsidRDefault="00E90752" w14:paraId="149AD709" w14:textId="77777777">
      <w:pPr>
        <w:rPr>
          <w:lang w:val="fr-BE"/>
        </w:rPr>
      </w:pPr>
    </w:p>
    <w:p w:rsidRPr="000A4F09" w:rsidR="00E90752" w:rsidP="00E90752" w:rsidRDefault="00E90752" w14:paraId="13383A7B" w14:textId="77777777">
      <w:pPr>
        <w:pStyle w:val="Heading3"/>
      </w:pPr>
      <w:r>
        <w:t>Για να μειωθεί το κόστος επισκευής, η ΕΕ μπορεί να ενθαρρύνει τη χρήση μεταχειρισμένων ανταλλακτικών. Η ΕΟΚΕ εκφράζει τη λύπη της για το γεγονός ότι η αγορά μεταχειρισμένων αγαθών ή ασφαλών ανακυκλωμένων ανταλλακτικών είναι επί του παρόντος μάλλον περιορισμένη και μη ανταγωνιστική λόγω έλλειψης υποδομών και κατάλληλης νομοθεσίας.</w:t>
      </w:r>
    </w:p>
    <w:p w:rsidRPr="000A4F09" w:rsidR="00E90752" w:rsidP="00E90752" w:rsidRDefault="00E90752" w14:paraId="6F283BB9" w14:textId="77777777">
      <w:pPr>
        <w:rPr>
          <w:lang w:val="fr-BE"/>
        </w:rPr>
      </w:pPr>
    </w:p>
    <w:p w:rsidRPr="000A4F09" w:rsidR="00E90752" w:rsidP="00E90752" w:rsidRDefault="00E90752" w14:paraId="75882D80" w14:textId="77777777">
      <w:pPr>
        <w:pStyle w:val="Heading3"/>
      </w:pPr>
      <w:r>
        <w:t>Η Ευρωπαϊκή Επιτροπή πρέπει επίσης να προχωρήσει περαιτέρω λαμβάνοντας συγκεκριμένα μέτρα ώστε να καταστεί ελκυστικότερο το μήνυμα σχετικά με τις τιμές της επισκευής. Πρέπει να απαιτήσει από τα κράτη μέλη να λάβουν μέτρα προς αυτή την κατεύθυνση. Για παράδειγμα, η ΕΟΚΕ κρίνει απαραίτητο να προωθηθούν φορολογικά κίνητρα ή άλλα αντισταθμιστικά μέτρα υπέρ της επισκευής. Με βάση τους μέχρι σήμερα πειραματισμούς σε εθνικό επίπεδο, θα πρέπει να προσδιοριστούν τα πλέον κατάλληλα εργαλεία για την τόνωση της αγοράς των μεταχειρισμένων προϊόντων και των επισκευών.</w:t>
      </w:r>
    </w:p>
    <w:p w:rsidRPr="000A4F09" w:rsidR="00E90752" w:rsidP="00E90752" w:rsidRDefault="00E90752" w14:paraId="04468D1A" w14:textId="77777777">
      <w:pPr>
        <w:jc w:val="left"/>
        <w:rPr>
          <w:lang w:val="fr-BE"/>
        </w:rPr>
      </w:pPr>
    </w:p>
    <w:p w:rsidR="006B38CF" w:rsidRDefault="006B38CF" w14:paraId="5049B92C" w14:textId="77777777">
      <w:pPr>
        <w:spacing w:after="160" w:line="259" w:lineRule="auto"/>
        <w:jc w:val="left"/>
      </w:pPr>
      <w:r>
        <w:br w:type="page"/>
      </w:r>
    </w:p>
    <w:p w:rsidRPr="000A4F09" w:rsidR="00E90752" w:rsidP="00E90752" w:rsidRDefault="00E90752" w14:paraId="219FCCD4" w14:textId="2071FED3">
      <w:r>
        <w:lastRenderedPageBreak/>
        <w:t>Βρυξέλλες, 14 Ιουνίου 2023.</w:t>
      </w:r>
    </w:p>
    <w:p w:rsidRPr="000A4F09" w:rsidR="00E90752" w:rsidP="00E90752" w:rsidRDefault="00E90752" w14:paraId="0A81A534" w14:textId="77777777">
      <w:pPr>
        <w:rPr>
          <w:lang w:val="fr-BE"/>
        </w:rPr>
      </w:pPr>
    </w:p>
    <w:p w:rsidRPr="000A4F09" w:rsidR="00E90752" w:rsidP="00E90752" w:rsidRDefault="00E90752" w14:paraId="2AAB7A9B" w14:textId="77777777">
      <w:pPr>
        <w:rPr>
          <w:lang w:val="fr-BE"/>
        </w:rPr>
      </w:pPr>
    </w:p>
    <w:p w:rsidRPr="000A4F09" w:rsidR="00E90752" w:rsidP="00E90752" w:rsidRDefault="00E90752" w14:paraId="0F8B676D" w14:textId="77777777">
      <w:pPr>
        <w:rPr>
          <w:lang w:val="fr-BE"/>
        </w:rPr>
      </w:pPr>
    </w:p>
    <w:p w:rsidRPr="000A4F09" w:rsidR="00E90752" w:rsidP="00E90752" w:rsidRDefault="00E90752" w14:paraId="720B6F46" w14:textId="77777777">
      <w:pPr>
        <w:rPr>
          <w:lang w:val="fr-BE"/>
        </w:rPr>
      </w:pPr>
    </w:p>
    <w:p w:rsidRPr="000A4F09" w:rsidR="00E90752" w:rsidP="00E90752" w:rsidRDefault="000A4776" w14:paraId="3BB8D6DA" w14:textId="2FCBAEC9">
      <w:pPr>
        <w:jc w:val="left"/>
      </w:pPr>
      <w:proofErr w:type="spellStart"/>
      <w:r>
        <w:t>Oliver</w:t>
      </w:r>
      <w:proofErr w:type="spellEnd"/>
      <w:r>
        <w:t xml:space="preserve"> RÖPKE</w:t>
      </w:r>
      <w:r>
        <w:br/>
        <w:t>Πρόεδρος της Ευρωπαϊκής Οικονομικής και Κοινωνικής Επιτροπής</w:t>
      </w:r>
    </w:p>
    <w:p w:rsidRPr="000A4F09" w:rsidR="00E90752" w:rsidP="00E90752" w:rsidRDefault="00E90752" w14:paraId="57B9E802" w14:textId="2F3117B4">
      <w:pPr>
        <w:jc w:val="left"/>
        <w:rPr>
          <w:lang w:val="fr-BE"/>
        </w:rPr>
      </w:pPr>
    </w:p>
    <w:p w:rsidRPr="002F780D" w:rsidR="00877F8D" w:rsidP="0049136A" w:rsidRDefault="00877F8D" w14:paraId="03E25BD9" w14:textId="7E27D732"/>
    <w:p w:rsidRPr="002F780D" w:rsidR="00F53370" w:rsidP="00DB7F50" w:rsidRDefault="00E2376B" w14:paraId="1DEA4B0E" w14:textId="77777777">
      <w:pPr>
        <w:jc w:val="center"/>
      </w:pPr>
      <w:r>
        <w:t>_____________</w:t>
      </w:r>
    </w:p>
    <w:sectPr w:rsidRPr="002F780D" w:rsidR="00F53370" w:rsidSect="001E74A1">
      <w:headerReference w:type="default" r:id="rId22"/>
      <w:footerReference w:type="default" r:id="rId23"/>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2E0B" w14:textId="77777777" w:rsidR="00D039AF" w:rsidRDefault="00D039AF" w:rsidP="00F53370">
      <w:pPr>
        <w:spacing w:line="240" w:lineRule="auto"/>
      </w:pPr>
      <w:r>
        <w:separator/>
      </w:r>
    </w:p>
  </w:endnote>
  <w:endnote w:type="continuationSeparator" w:id="0">
    <w:p w14:paraId="0772BDC4" w14:textId="77777777" w:rsidR="00D039AF" w:rsidRDefault="00D039A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DECC" w14:textId="77777777" w:rsidR="009C66AA" w:rsidRDefault="009C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185" w14:textId="77777777" w:rsidR="009C66AA" w:rsidRDefault="009C6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E6E5" w14:textId="77777777" w:rsidR="009C66AA" w:rsidRDefault="009C66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6834" w14:textId="77777777" w:rsidR="00574C9B" w:rsidRDefault="00574C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3D94" w14:textId="217B57E5" w:rsidR="0084105C" w:rsidRPr="003065C9" w:rsidRDefault="00DA3B94" w:rsidP="00DA3B94">
    <w:pPr>
      <w:pStyle w:val="Footer"/>
      <w:jc w:val="left"/>
    </w:pPr>
    <w:r>
      <w:t xml:space="preserve">INT/1015 – EESC-2023-01158-00-00-AC-TRA (EN) </w:t>
    </w:r>
    <w:r>
      <w:fldChar w:fldCharType="begin"/>
    </w:r>
    <w:r>
      <w:instrText xml:space="preserve"> PAGE  \* Arabic  \* MERGEFORMAT </w:instrText>
    </w:r>
    <w:r>
      <w:fldChar w:fldCharType="separate"/>
    </w:r>
    <w:r>
      <w:t>8</w:t>
    </w:r>
    <w:r>
      <w:fldChar w:fldCharType="end"/>
    </w:r>
    <w:r>
      <w:t>/</w:t>
    </w:r>
    <w:r>
      <w:fldChar w:fldCharType="begin"/>
    </w:r>
    <w:r>
      <w:instrText xml:space="preserve"> = </w:instrText>
    </w:r>
    <w:fldSimple w:instr=" NUMPAGES ">
      <w:r w:rsidR="00270DD3">
        <w:rPr>
          <w:noProof/>
        </w:rPr>
        <w:instrText>10</w:instrText>
      </w:r>
    </w:fldSimple>
    <w:r>
      <w:instrText xml:space="preserve"> - 2 </w:instrText>
    </w:r>
    <w:r>
      <w:fldChar w:fldCharType="separate"/>
    </w:r>
    <w:r w:rsidR="00270DD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0249" w14:textId="77777777" w:rsidR="00D039AF" w:rsidRDefault="00D039AF" w:rsidP="00F53370">
      <w:pPr>
        <w:spacing w:line="240" w:lineRule="auto"/>
      </w:pPr>
      <w:r>
        <w:separator/>
      </w:r>
    </w:p>
  </w:footnote>
  <w:footnote w:type="continuationSeparator" w:id="0">
    <w:p w14:paraId="46490E77" w14:textId="77777777" w:rsidR="00D039AF" w:rsidRDefault="00D039AF" w:rsidP="00F53370">
      <w:pPr>
        <w:spacing w:line="240" w:lineRule="auto"/>
      </w:pPr>
      <w:r>
        <w:continuationSeparator/>
      </w:r>
    </w:p>
  </w:footnote>
  <w:footnote w:id="1">
    <w:p w14:paraId="00A0ADEC" w14:textId="77777777" w:rsidR="00E90752" w:rsidRPr="005B5AB8" w:rsidRDefault="00E90752" w:rsidP="00E90752">
      <w:pPr>
        <w:pStyle w:val="FootnoteText"/>
      </w:pPr>
      <w:r>
        <w:rPr>
          <w:rStyle w:val="FootnoteReference"/>
        </w:rPr>
        <w:footnoteRef/>
      </w:r>
      <w:r>
        <w:tab/>
      </w:r>
      <w:hyperlink r:id="rId1" w:history="1">
        <w:r>
          <w:rPr>
            <w:rStyle w:val="Hyperlink"/>
          </w:rPr>
          <w:t>https://single-market-economy.ec.europa.eu/industry/strategy/intellectual-property/industrial-design-protection_el</w:t>
        </w:r>
      </w:hyperlink>
      <w:r>
        <w:t>.</w:t>
      </w:r>
    </w:p>
  </w:footnote>
  <w:footnote w:id="2">
    <w:p w14:paraId="2F3CF4A0" w14:textId="77777777" w:rsidR="00E90752" w:rsidRPr="009724F2" w:rsidRDefault="00E90752" w:rsidP="00E90752">
      <w:pPr>
        <w:pStyle w:val="FootnoteText"/>
      </w:pPr>
      <w:r>
        <w:rPr>
          <w:rStyle w:val="FootnoteReference"/>
        </w:rPr>
        <w:footnoteRef/>
      </w:r>
      <w:r>
        <w:tab/>
      </w:r>
      <w:proofErr w:type="spellStart"/>
      <w:r>
        <w:t>Gaïa</w:t>
      </w:r>
      <w:proofErr w:type="spellEnd"/>
      <w:r>
        <w:t>, «</w:t>
      </w:r>
      <w:proofErr w:type="spellStart"/>
      <w:r>
        <w:t>Zero</w:t>
      </w:r>
      <w:proofErr w:type="spellEnd"/>
      <w:r>
        <w:t xml:space="preserve"> </w:t>
      </w:r>
      <w:proofErr w:type="spellStart"/>
      <w:r>
        <w:t>Waste</w:t>
      </w:r>
      <w:proofErr w:type="spellEnd"/>
      <w:r>
        <w:t xml:space="preserve"> and Economic </w:t>
      </w:r>
      <w:proofErr w:type="spellStart"/>
      <w:r>
        <w:t>Recovery</w:t>
      </w:r>
      <w:proofErr w:type="spellEnd"/>
      <w:r>
        <w:t xml:space="preserve">. The </w:t>
      </w:r>
      <w:proofErr w:type="spellStart"/>
      <w:r>
        <w:t>job</w:t>
      </w:r>
      <w:proofErr w:type="spellEnd"/>
      <w:r>
        <w:t xml:space="preserve"> </w:t>
      </w:r>
      <w:proofErr w:type="spellStart"/>
      <w:r>
        <w:t>creation</w:t>
      </w:r>
      <w:proofErr w:type="spellEnd"/>
      <w:r>
        <w:t xml:space="preserve"> </w:t>
      </w:r>
      <w:proofErr w:type="spellStart"/>
      <w:r>
        <w:t>potential</w:t>
      </w:r>
      <w:proofErr w:type="spellEnd"/>
      <w:r>
        <w:t xml:space="preserve"> of </w:t>
      </w:r>
      <w:proofErr w:type="spellStart"/>
      <w:r>
        <w:t>zero</w:t>
      </w:r>
      <w:proofErr w:type="spellEnd"/>
      <w:r>
        <w:t xml:space="preserve"> </w:t>
      </w:r>
      <w:proofErr w:type="spellStart"/>
      <w:r>
        <w:t>waste</w:t>
      </w:r>
      <w:proofErr w:type="spellEnd"/>
      <w:r>
        <w:t xml:space="preserve"> </w:t>
      </w:r>
      <w:proofErr w:type="spellStart"/>
      <w:r>
        <w:t>solution</w:t>
      </w:r>
      <w:proofErr w:type="spellEnd"/>
      <w:r>
        <w:t>» (Μηδενικά απόβλητα και οικονομική ανάκαμψη. Το δυναμικό δημιουργίας θέσεων εργασίας που ενέχει η λύση μηδενικών αποβλήτων), 2021.</w:t>
      </w:r>
    </w:p>
  </w:footnote>
  <w:footnote w:id="3">
    <w:p w14:paraId="50817950" w14:textId="1E817E3C" w:rsidR="00E90752" w:rsidRPr="009724F2" w:rsidRDefault="00E90752" w:rsidP="00E90752">
      <w:pPr>
        <w:pStyle w:val="FootnoteText"/>
      </w:pPr>
      <w:r>
        <w:rPr>
          <w:rStyle w:val="FootnoteReference"/>
        </w:rPr>
        <w:footnoteRef/>
      </w:r>
      <w:r>
        <w:tab/>
      </w:r>
      <w:hyperlink r:id="rId2" w:history="1">
        <w:r>
          <w:rPr>
            <w:rStyle w:val="Hyperlink"/>
          </w:rPr>
          <w:t>ΕΕ C 443 της 22.11.2022, σ. 75</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110A" w14:textId="77777777" w:rsidR="00574C9B" w:rsidRDefault="003F5DAE">
    <w:pPr>
      <w:pStyle w:val="Header"/>
    </w:pPr>
    <w:r>
      <w:pict w14:anchorId="6983C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BA75" w14:textId="0D448665" w:rsidR="00574C9B" w:rsidRDefault="009C66AA">
    <w:pPr>
      <w:pStyle w:val="Header"/>
    </w:pPr>
    <w:r>
      <w:rPr>
        <w:noProof/>
      </w:rPr>
      <w:drawing>
        <wp:anchor distT="0" distB="0" distL="114300" distR="114300" simplePos="0" relativeHeight="251667456" behindDoc="0" locked="0" layoutInCell="1" allowOverlap="1" wp14:anchorId="30780D3E" wp14:editId="695F6F7A">
          <wp:simplePos x="0" y="0"/>
          <wp:positionH relativeFrom="page">
            <wp:align>center</wp:align>
          </wp:positionH>
          <wp:positionV relativeFrom="page">
            <wp:posOffset>288290</wp:posOffset>
          </wp:positionV>
          <wp:extent cx="6944360" cy="3343275"/>
          <wp:effectExtent l="0" t="0" r="8890" b="9525"/>
          <wp:wrapNone/>
          <wp:docPr id="1" name="Picture 1" title="EESCLogo2021_EL"/>
          <wp:cNvGraphicFramePr/>
          <a:graphic xmlns:a="http://schemas.openxmlformats.org/drawingml/2006/main">
            <a:graphicData uri="http://schemas.openxmlformats.org/drawingml/2006/picture">
              <pic:pic xmlns:pic="http://schemas.openxmlformats.org/drawingml/2006/picture">
                <pic:nvPicPr>
                  <pic:cNvPr id="1" name="Picture 1" title="EESCLogo2021_EL"/>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3F5DAE">
      <w:pict w14:anchorId="2BF3E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9256" w14:textId="77777777" w:rsidR="00574C9B" w:rsidRDefault="003F5DAE">
    <w:pPr>
      <w:pStyle w:val="Header"/>
    </w:pPr>
    <w:r>
      <w:pict w14:anchorId="461DE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D9A0" w14:textId="77777777" w:rsidR="00574C9B" w:rsidRDefault="003F5DAE">
    <w:pPr>
      <w:pStyle w:val="Header"/>
    </w:pPr>
    <w:r>
      <w:pict w14:anchorId="045FE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F9F" w14:textId="77777777" w:rsidR="00574C9B" w:rsidRDefault="00574C9B">
    <w:pPr>
      <w:pStyle w:val="Header"/>
    </w:pPr>
    <w:r>
      <w:rPr>
        <w:noProof/>
      </w:rPr>
      <w:drawing>
        <wp:anchor distT="0" distB="0" distL="114300" distR="114300" simplePos="0" relativeHeight="251665408" behindDoc="1" locked="0" layoutInCell="1" allowOverlap="1" wp14:anchorId="6EA2ABF1" wp14:editId="71AB37BB">
          <wp:simplePos x="0" y="0"/>
          <wp:positionH relativeFrom="page">
            <wp:posOffset>-10571</wp:posOffset>
          </wp:positionH>
          <wp:positionV relativeFrom="page">
            <wp:posOffset>-221993</wp:posOffset>
          </wp:positionV>
          <wp:extent cx="7581265" cy="10898802"/>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4A8E" w14:textId="77777777" w:rsidR="00574C9B" w:rsidRDefault="003F5DAE">
    <w:pPr>
      <w:pStyle w:val="Header"/>
    </w:pPr>
    <w:r>
      <w:pict w14:anchorId="5085F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6173" w14:textId="77777777" w:rsidR="00FA08F8" w:rsidRDefault="003F5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26AE19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7353E0"/>
    <w:multiLevelType w:val="hybridMultilevel"/>
    <w:tmpl w:val="E5C662FC"/>
    <w:lvl w:ilvl="0" w:tplc="9D2E64B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9136E7"/>
    <w:multiLevelType w:val="hybridMultilevel"/>
    <w:tmpl w:val="07A47AE8"/>
    <w:lvl w:ilvl="0" w:tplc="949A5C4A">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D44706"/>
    <w:multiLevelType w:val="hybridMultilevel"/>
    <w:tmpl w:val="0D1EB82C"/>
    <w:lvl w:ilvl="0" w:tplc="305A3F2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2C64DD"/>
    <w:multiLevelType w:val="hybridMultilevel"/>
    <w:tmpl w:val="6DB090D6"/>
    <w:lvl w:ilvl="0" w:tplc="1476396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4DB152D"/>
    <w:multiLevelType w:val="hybridMultilevel"/>
    <w:tmpl w:val="0DACD72C"/>
    <w:lvl w:ilvl="0" w:tplc="2E2E093A">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CD3B59"/>
    <w:multiLevelType w:val="hybridMultilevel"/>
    <w:tmpl w:val="0D9A42AA"/>
    <w:lvl w:ilvl="0" w:tplc="12DA790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216BF0"/>
    <w:multiLevelType w:val="hybridMultilevel"/>
    <w:tmpl w:val="6C987B80"/>
    <w:lvl w:ilvl="0" w:tplc="AC0E1596">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782ED8"/>
    <w:multiLevelType w:val="hybridMultilevel"/>
    <w:tmpl w:val="C71E6FBC"/>
    <w:lvl w:ilvl="0" w:tplc="B7EA14D4">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54786E"/>
    <w:multiLevelType w:val="hybridMultilevel"/>
    <w:tmpl w:val="B552A340"/>
    <w:lvl w:ilvl="0" w:tplc="FC0ABF7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B862604"/>
    <w:multiLevelType w:val="hybridMultilevel"/>
    <w:tmpl w:val="4CD26FA6"/>
    <w:lvl w:ilvl="0" w:tplc="0F5CB0D0">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B10594"/>
    <w:multiLevelType w:val="hybridMultilevel"/>
    <w:tmpl w:val="6AB067F4"/>
    <w:lvl w:ilvl="0" w:tplc="61927A4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1A3D30"/>
    <w:multiLevelType w:val="hybridMultilevel"/>
    <w:tmpl w:val="50B23BFE"/>
    <w:lvl w:ilvl="0" w:tplc="8122993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FEB79DD"/>
    <w:multiLevelType w:val="hybridMultilevel"/>
    <w:tmpl w:val="B4FCCC2E"/>
    <w:lvl w:ilvl="0" w:tplc="FFD40DE0">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FFF06D7"/>
    <w:multiLevelType w:val="hybridMultilevel"/>
    <w:tmpl w:val="0E1EEB18"/>
    <w:lvl w:ilvl="0" w:tplc="DFC2B074">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615294"/>
    <w:multiLevelType w:val="hybridMultilevel"/>
    <w:tmpl w:val="587043BC"/>
    <w:lvl w:ilvl="0" w:tplc="AB06B54C">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273A56"/>
    <w:multiLevelType w:val="hybridMultilevel"/>
    <w:tmpl w:val="81923D74"/>
    <w:lvl w:ilvl="0" w:tplc="E48EA676">
      <w:start w:val="1"/>
      <mc:AlternateContent>
        <mc:Choice Requires="w14">
          <w:numFmt w:val="custom" w:format="α, β, γ, ..."/>
        </mc:Choice>
        <mc:Fallback>
          <w:numFmt w:val="decimal"/>
        </mc:Fallback>
      </mc:AlternateContent>
      <w:lvlText w:val="%1)"/>
      <w:lvlJc w:val="left"/>
      <w:pPr>
        <w:ind w:left="1287" w:hanging="360"/>
      </w:pPr>
    </w:lvl>
    <w:lvl w:ilvl="1" w:tplc="D06070DE">
      <w:start w:val="1"/>
      <mc:AlternateContent>
        <mc:Choice Requires="w14">
          <w:numFmt w:val="custom" w:format="α, β, γ, ..."/>
        </mc:Choice>
        <mc:Fallback>
          <w:numFmt w:val="decimal"/>
        </mc:Fallback>
      </mc:AlternateContent>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DF567E44">
      <w:start w:val="1"/>
      <mc:AlternateContent>
        <mc:Choice Requires="w14">
          <w:numFmt w:val="custom" w:format="α, β, γ, ..."/>
        </mc:Choice>
        <mc:Fallback>
          <w:numFmt w:val="decimal"/>
        </mc:Fallback>
      </mc:AlternateContent>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76403FE">
      <w:start w:val="1"/>
      <mc:AlternateContent>
        <mc:Choice Requires="w14">
          <w:numFmt w:val="custom" w:format="α, β, γ, ..."/>
        </mc:Choice>
        <mc:Fallback>
          <w:numFmt w:val="decimal"/>
        </mc:Fallback>
      </mc:AlternateContent>
      <w:lvlText w:val="%8."/>
      <w:lvlJc w:val="left"/>
      <w:pPr>
        <w:ind w:left="6327" w:hanging="360"/>
      </w:pPr>
    </w:lvl>
    <w:lvl w:ilvl="8" w:tplc="0409001B">
      <w:start w:val="1"/>
      <w:numFmt w:val="lowerRoman"/>
      <w:lvlText w:val="%9."/>
      <w:lvlJc w:val="right"/>
      <w:pPr>
        <w:ind w:left="7047" w:hanging="180"/>
      </w:pPr>
    </w:lvl>
  </w:abstractNum>
  <w:abstractNum w:abstractNumId="17" w15:restartNumberingAfterBreak="0">
    <w:nsid w:val="78407F67"/>
    <w:multiLevelType w:val="hybridMultilevel"/>
    <w:tmpl w:val="62409C2A"/>
    <w:lvl w:ilvl="0" w:tplc="0409000F">
      <w:start w:val="1"/>
      <w:numFmt w:val="decimal"/>
      <w:lvlText w:val="%1."/>
      <w:lvlJc w:val="left"/>
      <w:pPr>
        <w:ind w:left="927" w:hanging="360"/>
      </w:pPr>
      <w:rPr>
        <w:rFonts w:hint="default"/>
      </w:rPr>
    </w:lvl>
    <w:lvl w:ilvl="1" w:tplc="72B02972">
      <w:start w:val="1"/>
      <mc:AlternateContent>
        <mc:Choice Requires="w14">
          <w:numFmt w:val="custom" w:format="α, β, γ, ..."/>
        </mc:Choice>
        <mc:Fallback>
          <w:numFmt w:val="decimal"/>
        </mc:Fallback>
      </mc:AlternateContent>
      <w:lvlText w:val="%2)"/>
      <w:lvlJc w:val="left"/>
      <w:pPr>
        <w:ind w:left="1647" w:hanging="360"/>
      </w:pPr>
      <w:rPr>
        <w:rFonts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15:restartNumberingAfterBreak="0">
    <w:nsid w:val="7CCD10FB"/>
    <w:multiLevelType w:val="hybridMultilevel"/>
    <w:tmpl w:val="625E204E"/>
    <w:lvl w:ilvl="0" w:tplc="01DE1208">
      <w:start w:val="1"/>
      <w:numFmt w:val="bullet"/>
      <w:lvlText w:val="-"/>
      <w:lvlJc w:val="left"/>
      <w:pPr>
        <w:tabs>
          <w:tab w:val="num" w:pos="0"/>
        </w:tabs>
        <w:ind w:left="283" w:hanging="283"/>
      </w:pPr>
      <w:rPr>
        <w:rFonts w:ascii="Symbol" w:hAnsi="Symbo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2"/>
  </w:num>
  <w:num w:numId="6">
    <w:abstractNumId w:val="1"/>
  </w:num>
  <w:num w:numId="7">
    <w:abstractNumId w:val="10"/>
  </w:num>
  <w:num w:numId="8">
    <w:abstractNumId w:val="11"/>
  </w:num>
  <w:num w:numId="9">
    <w:abstractNumId w:val="5"/>
  </w:num>
  <w:num w:numId="10">
    <w:abstractNumId w:val="14"/>
  </w:num>
  <w:num w:numId="11">
    <w:abstractNumId w:val="4"/>
  </w:num>
  <w:num w:numId="12">
    <w:abstractNumId w:val="18"/>
  </w:num>
  <w:num w:numId="13">
    <w:abstractNumId w:val="13"/>
  </w:num>
  <w:num w:numId="14">
    <w:abstractNumId w:val="8"/>
  </w:num>
  <w:num w:numId="15">
    <w:abstractNumId w:val="1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7ADF"/>
    <w:rsid w:val="00020389"/>
    <w:rsid w:val="00041BBC"/>
    <w:rsid w:val="00053D00"/>
    <w:rsid w:val="0009403B"/>
    <w:rsid w:val="000A0F3B"/>
    <w:rsid w:val="000A4776"/>
    <w:rsid w:val="000B0ACB"/>
    <w:rsid w:val="000B1C86"/>
    <w:rsid w:val="00103728"/>
    <w:rsid w:val="001041FD"/>
    <w:rsid w:val="00106AE0"/>
    <w:rsid w:val="001076BD"/>
    <w:rsid w:val="0012268A"/>
    <w:rsid w:val="00137E0F"/>
    <w:rsid w:val="00163267"/>
    <w:rsid w:val="0019231D"/>
    <w:rsid w:val="001D5EE4"/>
    <w:rsid w:val="001D61AC"/>
    <w:rsid w:val="001D76F1"/>
    <w:rsid w:val="001E15AA"/>
    <w:rsid w:val="001E3FA1"/>
    <w:rsid w:val="00200E87"/>
    <w:rsid w:val="002058FA"/>
    <w:rsid w:val="00214BDC"/>
    <w:rsid w:val="00215E81"/>
    <w:rsid w:val="00217020"/>
    <w:rsid w:val="0024727F"/>
    <w:rsid w:val="00253381"/>
    <w:rsid w:val="002610BF"/>
    <w:rsid w:val="00270DD3"/>
    <w:rsid w:val="002756F5"/>
    <w:rsid w:val="002923CF"/>
    <w:rsid w:val="002B6A7B"/>
    <w:rsid w:val="002C0062"/>
    <w:rsid w:val="002D22A5"/>
    <w:rsid w:val="002E7F13"/>
    <w:rsid w:val="002F1C4B"/>
    <w:rsid w:val="002F390C"/>
    <w:rsid w:val="002F780D"/>
    <w:rsid w:val="003353D7"/>
    <w:rsid w:val="003659F9"/>
    <w:rsid w:val="00380286"/>
    <w:rsid w:val="0038040B"/>
    <w:rsid w:val="003A064C"/>
    <w:rsid w:val="003A4A28"/>
    <w:rsid w:val="003C6245"/>
    <w:rsid w:val="003E1F66"/>
    <w:rsid w:val="003F165D"/>
    <w:rsid w:val="003F5DAE"/>
    <w:rsid w:val="00407186"/>
    <w:rsid w:val="00423309"/>
    <w:rsid w:val="00427460"/>
    <w:rsid w:val="00487270"/>
    <w:rsid w:val="00487383"/>
    <w:rsid w:val="0049136A"/>
    <w:rsid w:val="0049171D"/>
    <w:rsid w:val="004A4132"/>
    <w:rsid w:val="004B4A48"/>
    <w:rsid w:val="004B7E00"/>
    <w:rsid w:val="005328C4"/>
    <w:rsid w:val="0056488B"/>
    <w:rsid w:val="00572A25"/>
    <w:rsid w:val="00574C9B"/>
    <w:rsid w:val="00580919"/>
    <w:rsid w:val="0058411F"/>
    <w:rsid w:val="00591E5F"/>
    <w:rsid w:val="00591EAD"/>
    <w:rsid w:val="00597270"/>
    <w:rsid w:val="005B13B0"/>
    <w:rsid w:val="005B2DC6"/>
    <w:rsid w:val="005E596E"/>
    <w:rsid w:val="00610699"/>
    <w:rsid w:val="006125A1"/>
    <w:rsid w:val="00612CBB"/>
    <w:rsid w:val="0061628A"/>
    <w:rsid w:val="0062674D"/>
    <w:rsid w:val="0063023B"/>
    <w:rsid w:val="00653E7D"/>
    <w:rsid w:val="00662207"/>
    <w:rsid w:val="00667F09"/>
    <w:rsid w:val="00686646"/>
    <w:rsid w:val="006B187A"/>
    <w:rsid w:val="006B38CF"/>
    <w:rsid w:val="006B57A6"/>
    <w:rsid w:val="006B5B37"/>
    <w:rsid w:val="006D53A6"/>
    <w:rsid w:val="006F792E"/>
    <w:rsid w:val="0072451A"/>
    <w:rsid w:val="00726539"/>
    <w:rsid w:val="00731ACA"/>
    <w:rsid w:val="007446B8"/>
    <w:rsid w:val="00787837"/>
    <w:rsid w:val="00787ABB"/>
    <w:rsid w:val="007A464F"/>
    <w:rsid w:val="007B6C64"/>
    <w:rsid w:val="00811DE2"/>
    <w:rsid w:val="00822952"/>
    <w:rsid w:val="00825FDA"/>
    <w:rsid w:val="00834B86"/>
    <w:rsid w:val="00836505"/>
    <w:rsid w:val="00844B87"/>
    <w:rsid w:val="00851233"/>
    <w:rsid w:val="00856D71"/>
    <w:rsid w:val="008621C0"/>
    <w:rsid w:val="00870A25"/>
    <w:rsid w:val="00877F8D"/>
    <w:rsid w:val="00880D8F"/>
    <w:rsid w:val="0089251B"/>
    <w:rsid w:val="00897795"/>
    <w:rsid w:val="008A6DD4"/>
    <w:rsid w:val="008B55E5"/>
    <w:rsid w:val="008F60C4"/>
    <w:rsid w:val="008F74D7"/>
    <w:rsid w:val="00904C42"/>
    <w:rsid w:val="00915304"/>
    <w:rsid w:val="00915599"/>
    <w:rsid w:val="00924C05"/>
    <w:rsid w:val="00930FD1"/>
    <w:rsid w:val="00937CF2"/>
    <w:rsid w:val="009500C1"/>
    <w:rsid w:val="00952AA1"/>
    <w:rsid w:val="00964539"/>
    <w:rsid w:val="00965FF1"/>
    <w:rsid w:val="00966D68"/>
    <w:rsid w:val="00973B8D"/>
    <w:rsid w:val="00976645"/>
    <w:rsid w:val="00976F77"/>
    <w:rsid w:val="0098228C"/>
    <w:rsid w:val="00997D4F"/>
    <w:rsid w:val="009A3B23"/>
    <w:rsid w:val="009B5F3D"/>
    <w:rsid w:val="009C429E"/>
    <w:rsid w:val="009C66AA"/>
    <w:rsid w:val="009E0E62"/>
    <w:rsid w:val="009E2100"/>
    <w:rsid w:val="009E5557"/>
    <w:rsid w:val="009F7434"/>
    <w:rsid w:val="00A176C3"/>
    <w:rsid w:val="00A36AB0"/>
    <w:rsid w:val="00A73C40"/>
    <w:rsid w:val="00A74323"/>
    <w:rsid w:val="00A85473"/>
    <w:rsid w:val="00AA7D77"/>
    <w:rsid w:val="00AB0C48"/>
    <w:rsid w:val="00AB37A3"/>
    <w:rsid w:val="00AC5114"/>
    <w:rsid w:val="00AC7713"/>
    <w:rsid w:val="00AD666C"/>
    <w:rsid w:val="00B03BC4"/>
    <w:rsid w:val="00B04D81"/>
    <w:rsid w:val="00B05664"/>
    <w:rsid w:val="00B10A5F"/>
    <w:rsid w:val="00B13558"/>
    <w:rsid w:val="00B2419D"/>
    <w:rsid w:val="00B25683"/>
    <w:rsid w:val="00B35BA9"/>
    <w:rsid w:val="00B42C48"/>
    <w:rsid w:val="00B514C1"/>
    <w:rsid w:val="00B51901"/>
    <w:rsid w:val="00B54946"/>
    <w:rsid w:val="00B6166E"/>
    <w:rsid w:val="00B61BC8"/>
    <w:rsid w:val="00B639F1"/>
    <w:rsid w:val="00B72861"/>
    <w:rsid w:val="00B81A4B"/>
    <w:rsid w:val="00BA0745"/>
    <w:rsid w:val="00BD50F6"/>
    <w:rsid w:val="00BE21FA"/>
    <w:rsid w:val="00C073E1"/>
    <w:rsid w:val="00C117BC"/>
    <w:rsid w:val="00C21F54"/>
    <w:rsid w:val="00C22BEA"/>
    <w:rsid w:val="00C25647"/>
    <w:rsid w:val="00C32235"/>
    <w:rsid w:val="00C55ED6"/>
    <w:rsid w:val="00C574EB"/>
    <w:rsid w:val="00C66AEA"/>
    <w:rsid w:val="00C83BCE"/>
    <w:rsid w:val="00C9040A"/>
    <w:rsid w:val="00C90469"/>
    <w:rsid w:val="00C91E4D"/>
    <w:rsid w:val="00CA0613"/>
    <w:rsid w:val="00CB110A"/>
    <w:rsid w:val="00CB4B44"/>
    <w:rsid w:val="00CB7CD0"/>
    <w:rsid w:val="00CC4337"/>
    <w:rsid w:val="00CC707C"/>
    <w:rsid w:val="00CF38B9"/>
    <w:rsid w:val="00D038FC"/>
    <w:rsid w:val="00D039AF"/>
    <w:rsid w:val="00D12EE9"/>
    <w:rsid w:val="00D42DDF"/>
    <w:rsid w:val="00D939DD"/>
    <w:rsid w:val="00D95232"/>
    <w:rsid w:val="00DA12FA"/>
    <w:rsid w:val="00DA3B94"/>
    <w:rsid w:val="00DB3551"/>
    <w:rsid w:val="00DB3E6B"/>
    <w:rsid w:val="00DB54FF"/>
    <w:rsid w:val="00DB7F50"/>
    <w:rsid w:val="00DC7E6D"/>
    <w:rsid w:val="00DE199D"/>
    <w:rsid w:val="00DE30C7"/>
    <w:rsid w:val="00DF400F"/>
    <w:rsid w:val="00E15BF4"/>
    <w:rsid w:val="00E2376B"/>
    <w:rsid w:val="00E25B29"/>
    <w:rsid w:val="00E26935"/>
    <w:rsid w:val="00E27707"/>
    <w:rsid w:val="00E43F0D"/>
    <w:rsid w:val="00E509A1"/>
    <w:rsid w:val="00E52B04"/>
    <w:rsid w:val="00E661B7"/>
    <w:rsid w:val="00E73E4E"/>
    <w:rsid w:val="00E83ACE"/>
    <w:rsid w:val="00E90752"/>
    <w:rsid w:val="00EB5A22"/>
    <w:rsid w:val="00EB5A47"/>
    <w:rsid w:val="00EF7FA3"/>
    <w:rsid w:val="00F078A3"/>
    <w:rsid w:val="00F1012C"/>
    <w:rsid w:val="00F14EBF"/>
    <w:rsid w:val="00F15BB8"/>
    <w:rsid w:val="00F2069F"/>
    <w:rsid w:val="00F26344"/>
    <w:rsid w:val="00F44B05"/>
    <w:rsid w:val="00F53370"/>
    <w:rsid w:val="00F8794D"/>
    <w:rsid w:val="00F90BE2"/>
    <w:rsid w:val="00FA4105"/>
    <w:rsid w:val="00FB6EC4"/>
    <w:rsid w:val="00FC0CEA"/>
    <w:rsid w:val="00FD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B60EB54"/>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paragraph" w:styleId="NormalWeb">
    <w:name w:val="Normal (Web)"/>
    <w:basedOn w:val="Normal"/>
    <w:uiPriority w:val="99"/>
    <w:semiHidden/>
    <w:unhideWhenUsed/>
    <w:rsid w:val="00877F8D"/>
    <w:pPr>
      <w:spacing w:before="100" w:beforeAutospacing="1" w:after="100" w:afterAutospacing="1" w:line="240" w:lineRule="auto"/>
      <w:jc w:val="left"/>
    </w:pPr>
    <w:rPr>
      <w:sz w:val="24"/>
      <w:szCs w:val="24"/>
      <w:lang w:eastAsia="it-IT"/>
    </w:rPr>
  </w:style>
  <w:style w:type="paragraph" w:styleId="ListParagraph">
    <w:name w:val="List Paragraph"/>
    <w:basedOn w:val="Normal"/>
    <w:uiPriority w:val="34"/>
    <w:qFormat/>
    <w:rsid w:val="00877F8D"/>
    <w:pPr>
      <w:spacing w:after="160" w:line="256" w:lineRule="auto"/>
      <w:ind w:left="720"/>
      <w:contextualSpacing/>
      <w:jc w:val="left"/>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B13B0"/>
    <w:rPr>
      <w:color w:val="954F72" w:themeColor="followedHyperlink"/>
      <w:u w:val="single"/>
    </w:rPr>
  </w:style>
  <w:style w:type="table" w:customStyle="1" w:styleId="TableGrid1">
    <w:name w:val="Table Grid1"/>
    <w:basedOn w:val="TableNormal"/>
    <w:next w:val="TableGrid"/>
    <w:rsid w:val="00E90752"/>
    <w:pPr>
      <w:spacing w:after="0" w:line="288" w:lineRule="auto"/>
      <w:jc w:val="both"/>
    </w:pPr>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6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1927">
      <w:bodyDiv w:val="1"/>
      <w:marLeft w:val="0"/>
      <w:marRight w:val="0"/>
      <w:marTop w:val="0"/>
      <w:marBottom w:val="0"/>
      <w:divBdr>
        <w:top w:val="none" w:sz="0" w:space="0" w:color="auto"/>
        <w:left w:val="none" w:sz="0" w:space="0" w:color="auto"/>
        <w:bottom w:val="none" w:sz="0" w:space="0" w:color="auto"/>
        <w:right w:val="none" w:sz="0" w:space="0" w:color="auto"/>
      </w:divBdr>
    </w:div>
    <w:div w:id="1019968620">
      <w:bodyDiv w:val="1"/>
      <w:marLeft w:val="0"/>
      <w:marRight w:val="0"/>
      <w:marTop w:val="0"/>
      <w:marBottom w:val="0"/>
      <w:divBdr>
        <w:top w:val="none" w:sz="0" w:space="0" w:color="auto"/>
        <w:left w:val="none" w:sz="0" w:space="0" w:color="auto"/>
        <w:bottom w:val="none" w:sz="0" w:space="0" w:color="auto"/>
        <w:right w:val="none" w:sz="0" w:space="0" w:color="auto"/>
      </w:divBdr>
    </w:div>
    <w:div w:id="1055347842">
      <w:bodyDiv w:val="1"/>
      <w:marLeft w:val="0"/>
      <w:marRight w:val="0"/>
      <w:marTop w:val="0"/>
      <w:marBottom w:val="0"/>
      <w:divBdr>
        <w:top w:val="none" w:sz="0" w:space="0" w:color="auto"/>
        <w:left w:val="none" w:sz="0" w:space="0" w:color="auto"/>
        <w:bottom w:val="none" w:sz="0" w:space="0" w:color="auto"/>
        <w:right w:val="none" w:sz="0" w:space="0" w:color="auto"/>
      </w:divBdr>
    </w:div>
    <w:div w:id="20878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header" Target="header5.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xUriServ/LexUriServ.do?uri=OJ:C:2022:443:SOM:EL:HTML" TargetMode="External"/><Relationship Id="rId1" Type="http://schemas.openxmlformats.org/officeDocument/2006/relationships/hyperlink" Target="https://single-market-economy.ec.europa.eu/industry/strategy/intellectual-property/industrial-design-protection_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B0B8D40B797884EA0DC4175FDD89B23" ma:contentTypeVersion="4" ma:contentTypeDescription="Defines the documents for Document Manager V2" ma:contentTypeScope="" ma:versionID="952cba59bcf1b7f38c1a6b8007e27c88">
  <xsd:schema xmlns:xsd="http://www.w3.org/2001/XMLSchema" xmlns:xs="http://www.w3.org/2001/XMLSchema" xmlns:p="http://schemas.microsoft.com/office/2006/metadata/properties" xmlns:ns2="56a5413d-c261-4a00-870c-a20d3379ae6d" xmlns:ns3="http://schemas.microsoft.com/sharepoint/v3/fields" xmlns:ns4="5e8f28df-38cd-4f6e-b090-faa878e96575" targetNamespace="http://schemas.microsoft.com/office/2006/metadata/properties" ma:root="true" ma:fieldsID="ec80a07d03044182adc026ce7d9a8928" ns2:_="" ns3:_="" ns4:_="">
    <xsd:import namespace="56a5413d-c261-4a00-870c-a20d3379ae6d"/>
    <xsd:import namespace="http://schemas.microsoft.com/sharepoint/v3/fields"/>
    <xsd:import namespace="5e8f28df-38cd-4f6e-b090-faa878e9657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8f28df-38cd-4f6e-b090-faa878e9657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XMKEDVFMMJCW-1587818345-7848</_dlc_DocId>
    <_dlc_DocIdUrl xmlns="56a5413d-c261-4a00-870c-a20d3379ae6d">
      <Url>http://dm2016/eesc/2023/_layouts/15/DocIdRedir.aspx?ID=XMKEDVFMMJCW-1587818345-7848</Url>
      <Description>XMKEDVFMMJCW-1587818345-7848</Description>
    </_dlc_DocIdUrl>
    <Procedure xmlns="56a5413d-c261-4a00-870c-a20d3379ae6d">2023/0083(COD)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2023-06-16T12:00:00+00:00</ProductionDate>
    <DocumentNumber xmlns="5e8f28df-38cd-4f6e-b090-faa878e96575">1158</DocumentNumber>
    <FicheYear xmlns="56a5413d-c261-4a00-870c-a20d3379ae6d" xsi:nil="true"/>
    <DocumentVersion xmlns="56a5413d-c261-4a00-870c-a20d3379ae6d">0</DocumentVersion>
    <DossierNumber xmlns="56a5413d-c261-4a00-870c-a20d3379ae6d">1015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 xsi:nil="true"/>
    <TaxCatchAll xmlns="56a5413d-c261-4a00-870c-a20d3379ae6d">
      <Value>83</Value>
      <Value>54</Value>
      <Value>49</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9</Value>
      <Value>7</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56a5413d-c261-4a00-870c-a20d3379ae6d">PROUZET &amp; LIBAERT</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6a5413d-c261-4a00-870c-a20d3379ae6d">2023</DocumentYear>
    <FicheNumber xmlns="56a5413d-c261-4a00-870c-a20d3379ae6d">7005</FicheNumber>
    <OriginalSender xmlns="56a5413d-c261-4a00-870c-a20d3379ae6d">
      <UserInfo>
        <DisplayName>Skarpas Georges</DisplayName>
        <AccountId>1634</AccountId>
        <AccountType/>
      </UserInfo>
    </OriginalSender>
    <DocumentPart xmlns="56a5413d-c261-4a00-870c-a20d3379ae6d">0</DocumentPart>
    <AdoptionDate xmlns="56a5413d-c261-4a00-870c-a20d3379ae6d">2023-06-14T12:00:00+00:00</AdoptionDate>
    <RequestingService xmlns="56a5413d-c261-4a00-870c-a20d3379ae6d">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5e8f28df-38cd-4f6e-b090-faa878e96575"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Props1.xml><?xml version="1.0" encoding="utf-8"?>
<ds:datastoreItem xmlns:ds="http://schemas.openxmlformats.org/officeDocument/2006/customXml" ds:itemID="{DFCC0B51-83BA-481A-BE97-92EE4FF1F133}"/>
</file>

<file path=customXml/itemProps2.xml><?xml version="1.0" encoding="utf-8"?>
<ds:datastoreItem xmlns:ds="http://schemas.openxmlformats.org/officeDocument/2006/customXml" ds:itemID="{BF64B862-2E14-4AF8-BD73-E29ECFC508FD}"/>
</file>

<file path=customXml/itemProps3.xml><?xml version="1.0" encoding="utf-8"?>
<ds:datastoreItem xmlns:ds="http://schemas.openxmlformats.org/officeDocument/2006/customXml" ds:itemID="{5EAAF7C3-7C27-4F66-B771-25EE752A2B47}"/>
</file>

<file path=customXml/itemProps4.xml><?xml version="1.0" encoding="utf-8"?>
<ds:datastoreItem xmlns:ds="http://schemas.openxmlformats.org/officeDocument/2006/customXml" ds:itemID="{410EDCE1-CA1C-4F92-AF8D-BA946EF10238}"/>
</file>

<file path=docProps/app.xml><?xml version="1.0" encoding="utf-8"?>
<Properties xmlns="http://schemas.openxmlformats.org/officeDocument/2006/extended-properties" xmlns:vt="http://schemas.openxmlformats.org/officeDocument/2006/docPropsVTypes">
  <Template>Normal.dotm</Template>
  <TotalTime>0</TotalTime>
  <Pages>10</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AC-Cover page - Opinion Committee - EESC revised model</vt:lpstr>
    </vt:vector>
  </TitlesOfParts>
  <Company>CESE-CdR</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δικαίωμα επισκευής</dc:title>
  <dc:subject>AC</dc:subject>
  <dc:creator>Francois Aude</dc:creator>
  <cp:keywords>EESC-2023-01158-00-00-AC-TRA-FR</cp:keywords>
  <dc:description>Rapporteur: PROUZET &amp; LIBAERT - Original language: FR - Date of document: 16/06/2023 - Date of meeting:  - External documents: COM(2023)155- final - Administrator:  BERNARD Dalila</dc:description>
  <cp:lastModifiedBy>Skarpas Georges</cp:lastModifiedBy>
  <cp:revision>11</cp:revision>
  <dcterms:created xsi:type="dcterms:W3CDTF">2023-06-15T09:39:00Z</dcterms:created>
  <dcterms:modified xsi:type="dcterms:W3CDTF">2023-06-16T08:11:00Z</dcterms:modified>
  <cp:category>INT/1015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15/06/2023, 23/02/2023, 17/05/2022</vt:lpwstr>
  </property>
  <property fmtid="{D5CDD505-2E9C-101B-9397-08002B2CF9AE}" pid="4" name="Pref_Time">
    <vt:lpwstr>11:28:54, 09:19:43, 14:58:36</vt:lpwstr>
  </property>
  <property fmtid="{D5CDD505-2E9C-101B-9397-08002B2CF9AE}" pid="5" name="Pref_User">
    <vt:lpwstr>enied, enied, enied</vt:lpwstr>
  </property>
  <property fmtid="{D5CDD505-2E9C-101B-9397-08002B2CF9AE}" pid="6" name="Pref_FileName">
    <vt:lpwstr>EESC-2023-01158-00-00-AC-TRA-FR-CRR.docx, EESC-2022-05312-00-00-AC-TRA-EN-CRR.docx, COR-EESC-2022-02592-00-00-ADMIN-ORI.docx</vt:lpwstr>
  </property>
  <property fmtid="{D5CDD505-2E9C-101B-9397-08002B2CF9AE}" pid="7" name="ContentTypeId">
    <vt:lpwstr>0x010100EA97B91038054C99906057A708A1480A002B0B8D40B797884EA0DC4175FDD89B23</vt:lpwstr>
  </property>
  <property fmtid="{D5CDD505-2E9C-101B-9397-08002B2CF9AE}" pid="8" name="_dlc_DocIdItemGuid">
    <vt:lpwstr>90891985-4cab-489a-8790-bf9775117665</vt:lpwstr>
  </property>
  <property fmtid="{D5CDD505-2E9C-101B-9397-08002B2CF9AE}" pid="9" name="Procedure">
    <vt:lpwstr>2023/0083(COD)</vt:lpwstr>
  </property>
  <property fmtid="{D5CDD505-2E9C-101B-9397-08002B2CF9AE}" pid="10" name="AvailableTranslations">
    <vt:lpwstr>42;#FI|87606a43-d45f-42d6-b8c9-e1a3457db5b7;#36;#MT|7df99101-6854-4a26-b53a-b88c0da02c26;#35;#SL|98a412ae-eb01-49e9-ae3d-585a81724cfc;#32;#PT|50ccc04a-eadd-42ae-a0cb-acaf45f812ba;#31;#NL|55c6556c-b4f4-441d-9acf-c498d4f838bd;#24;#PL|1e03da61-4678-4e07-b136-b5024ca9197b;#33;#LV|46f7e311-5d9f-4663-b433-18aeccb7ace7;#37;#CS|72f9705b-0217-4fd3-bea2-cbc7ed80e26e;#43;#DA|5d49c027-8956-412b-aa16-e85a0f96ad0e;#5;#EN|f2175f21-25d7-44a3-96da-d6a61b075e1b;#45;#ET|ff6c3f4c-b02c-4c3c-ab07-2c37995a7a0a;#49;#GA|762d2456-c427-4ecb-b312-af3dad8e258c;#46;#HR|2f555653-ed1a-4fe6-8362-9082d95989e5;#34;#SK|46d9fce0-ef79-4f71-b89b-cd6aa82426b8;#16;#DE|f6b31e5a-26fa-4935-b661-318e46daf27e;#30;#IT|0774613c-01ed-4e5d-a25d-11d2388de825;#25;#ES|e7a6b05b-ae16-40c8-add9-68b64b03aeba;#38;#EL|6d4f4d51-af9b-4650-94b4-4276bee85c91;#41;#HU|6b229040-c589-4408-b4c1-4285663d20a8;#39;#LT|a7ff5ce7-6123-4f68-865a-a57c31810414;#40;#RO|feb747a2-64cd-4299-af12-4833ddc30497;#44;#BG|1a1b3951-7821-4e6a-85f5-5673fc08bd2c;#21;#SV|c2ed69e7-a339-43d7-8f22-d93680a92aa0;#10;#FR|d2afafd3-4c81-4f60-8f52-ee33f2f54ff3</vt:lpwstr>
  </property>
  <property fmtid="{D5CDD505-2E9C-101B-9397-08002B2CF9AE}" pid="11" name="DocumentType_0">
    <vt:lpwstr>AC|a4cc1d15-fb08-4679-ad46-e4e0cba5fe92</vt:lpwstr>
  </property>
  <property fmtid="{D5CDD505-2E9C-101B-9397-08002B2CF9AE}" pid="12" name="DossierName_0">
    <vt:lpwstr>INT|e1edfecb-ed43-427b-bb02-d45fe6645386</vt:lpwstr>
  </property>
  <property fmtid="{D5CDD505-2E9C-101B-9397-08002B2CF9AE}" pid="13" name="DocumentSource_0">
    <vt:lpwstr>EESC|422833ec-8d7e-4e65-8e4e-8bed07ffb729</vt:lpwstr>
  </property>
  <property fmtid="{D5CDD505-2E9C-101B-9397-08002B2CF9AE}" pid="14" name="DocumentNumber">
    <vt:i4>1158</vt:i4>
  </property>
  <property fmtid="{D5CDD505-2E9C-101B-9397-08002B2CF9AE}" pid="15" name="DocumentVersion">
    <vt:i4>0</vt:i4>
  </property>
  <property fmtid="{D5CDD505-2E9C-101B-9397-08002B2CF9AE}" pid="16" name="DossierNumber">
    <vt:i4>1015</vt:i4>
  </property>
  <property fmtid="{D5CDD505-2E9C-101B-9397-08002B2CF9AE}" pid="17" name="DocumentStatus">
    <vt:lpwstr>3;#TRA|150d2a88-1431-44e6-a8ca-0bb753ab8672</vt:lpwstr>
  </property>
  <property fmtid="{D5CDD505-2E9C-101B-9397-08002B2CF9AE}" pid="18" name="DocumentPart">
    <vt:i4>0</vt:i4>
  </property>
  <property fmtid="{D5CDD505-2E9C-101B-9397-08002B2CF9AE}" pid="19" name="DossierName">
    <vt:lpwstr>54;#INT|e1edfecb-ed43-427b-bb02-d45fe6645386</vt:lpwstr>
  </property>
  <property fmtid="{D5CDD505-2E9C-101B-9397-08002B2CF9AE}" pid="20" name="DocumentSource">
    <vt:lpwstr>1;#EESC|422833ec-8d7e-4e65-8e4e-8bed07ffb729</vt:lpwstr>
  </property>
  <property fmtid="{D5CDD505-2E9C-101B-9397-08002B2CF9AE}" pid="21" name="AdoptionDate">
    <vt:filetime>2023-06-14T12:00:00Z</vt:filetime>
  </property>
  <property fmtid="{D5CDD505-2E9C-101B-9397-08002B2CF9AE}" pid="22" name="DocumentType">
    <vt:lpwstr>83;#AC|a4cc1d15-fb08-4679-ad46-e4e0cba5fe92</vt:lpwstr>
  </property>
  <property fmtid="{D5CDD505-2E9C-101B-9397-08002B2CF9AE}" pid="23" name="RequestingService">
    <vt:lpwstr>Marché unique, production, consommation</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10;#FR|d2afafd3-4c81-4f60-8f52-ee33f2f54ff3</vt:lpwstr>
  </property>
  <property fmtid="{D5CDD505-2E9C-101B-9397-08002B2CF9AE}" pid="28" name="MeetingName">
    <vt:lpwstr/>
  </property>
  <property fmtid="{D5CDD505-2E9C-101B-9397-08002B2CF9AE}" pid="30" name="AvailableTranslations_0">
    <vt:lpwstr>MT|7df99101-6854-4a26-b53a-b88c0da02c26;PT|50ccc04a-eadd-42ae-a0cb-acaf45f812ba;NL|55c6556c-b4f4-441d-9acf-c498d4f838bd;EN|f2175f21-25d7-44a3-96da-d6a61b075e1b;GA|762d2456-c427-4ecb-b312-af3dad8e258c;DE|f6b31e5a-26fa-4935-b661-318e46daf27e;ES|e7a6b05b-ae16-40c8-add9-68b64b03aeba;SV|c2ed69e7-a339-43d7-8f22-d93680a92aa0;FR|d2afafd3-4c81-4f60-8f52-ee33f2f54ff3</vt:lpwstr>
  </property>
  <property fmtid="{D5CDD505-2E9C-101B-9397-08002B2CF9AE}" pid="31" name="DocumentStatus_0">
    <vt:lpwstr>TRA|150d2a88-1431-44e6-a8ca-0bb753ab8672</vt:lpwstr>
  </property>
  <property fmtid="{D5CDD505-2E9C-101B-9397-08002B2CF9AE}" pid="32" name="OriginalLanguage_0">
    <vt:lpwstr>FR|d2afafd3-4c81-4f60-8f52-ee33f2f54ff3</vt:lpwstr>
  </property>
  <property fmtid="{D5CDD505-2E9C-101B-9397-08002B2CF9AE}" pid="33" name="TaxCatchAll">
    <vt:lpwstr>36;#MT|7df99101-6854-4a26-b53a-b88c0da02c26;#32;#PT|50ccc04a-eadd-42ae-a0cb-acaf45f812ba;#31;#NL|55c6556c-b4f4-441d-9acf-c498d4f838bd;#25;#ES|e7a6b05b-ae16-40c8-add9-68b64b03aeba;#21;#SV|c2ed69e7-a339-43d7-8f22-d93680a92aa0;#54;#INT|e1edfecb-ed43-427b-bb02-d45fe6645386;#16;#DE|f6b31e5a-26fa-4935-b661-318e46daf27e;#49;#GA|762d2456-c427-4ecb-b312-af3dad8e258c;#10;#FR|d2afafd3-4c81-4f60-8f52-ee33f2f54ff3;#9;#Unrestricted|826e22d7-d029-4ec0-a450-0c28ff673572;#7;#Final|ea5e6674-7b27-4bac-b091-73adbb394efe;#5;#EN|f2175f21-25d7-44a3-96da-d6a61b075e1b;#83;#AC|a4cc1d15-fb08-4679-ad46-e4e0cba5fe92;#3;#TRA|150d2a88-1431-44e6-a8ca-0bb753ab8672;#1;#EESC|422833ec-8d7e-4e65-8e4e-8bed07ffb729</vt:lpwstr>
  </property>
  <property fmtid="{D5CDD505-2E9C-101B-9397-08002B2CF9AE}" pid="34" name="Rapporteur">
    <vt:lpwstr>PROUZET &amp; LIBAERT</vt:lpwstr>
  </property>
  <property fmtid="{D5CDD505-2E9C-101B-9397-08002B2CF9AE}" pid="35" name="VersionStatus_0">
    <vt:lpwstr>Final|ea5e6674-7b27-4bac-b091-73adbb394efe</vt:lpwstr>
  </property>
  <property fmtid="{D5CDD505-2E9C-101B-9397-08002B2CF9AE}" pid="36" name="VersionStatus">
    <vt:lpwstr>7;#Final|ea5e6674-7b27-4bac-b091-73adbb394efe</vt:lpwstr>
  </property>
  <property fmtid="{D5CDD505-2E9C-101B-9397-08002B2CF9AE}" pid="37" name="DocumentYear">
    <vt:i4>2023</vt:i4>
  </property>
  <property fmtid="{D5CDD505-2E9C-101B-9397-08002B2CF9AE}" pid="38" name="FicheNumber">
    <vt:i4>7005</vt:i4>
  </property>
  <property fmtid="{D5CDD505-2E9C-101B-9397-08002B2CF9AE}" pid="39" name="DocumentLanguage">
    <vt:lpwstr>38;#EL|6d4f4d51-af9b-4650-94b4-4276bee85c91</vt:lpwstr>
  </property>
</Properties>
</file>